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A6082" w14:textId="2EE5ED7A" w:rsidR="00222FC2" w:rsidRPr="00643E3C" w:rsidRDefault="00CC68EB" w:rsidP="00985072">
      <w:pPr>
        <w:spacing w:after="0" w:line="276" w:lineRule="auto"/>
        <w:jc w:val="center"/>
        <w:rPr>
          <w:b/>
          <w:bCs/>
        </w:rPr>
      </w:pPr>
      <w:r>
        <w:rPr>
          <w:b/>
          <w:bCs/>
        </w:rPr>
        <w:t xml:space="preserve">KAMBAG‘ALLIK DARAJASINI YUMSHATISHDA MIKROMOLIYA SOHASINING O‘RNI: </w:t>
      </w:r>
      <w:r w:rsidR="004266E1">
        <w:rPr>
          <w:b/>
          <w:bCs/>
        </w:rPr>
        <w:t>BANGLADESHDA</w:t>
      </w:r>
      <w:r w:rsidR="004266E1" w:rsidRPr="00643E3C">
        <w:rPr>
          <w:b/>
          <w:bCs/>
        </w:rPr>
        <w:t xml:space="preserve"> </w:t>
      </w:r>
      <w:r w:rsidRPr="00643E3C">
        <w:rPr>
          <w:b/>
          <w:bCs/>
        </w:rPr>
        <w:t xml:space="preserve">ISLAMI BANK BANGLADESH </w:t>
      </w:r>
      <w:r>
        <w:rPr>
          <w:b/>
          <w:bCs/>
        </w:rPr>
        <w:t>PLC “</w:t>
      </w:r>
      <w:r w:rsidRPr="00CC68EB">
        <w:rPr>
          <w:b/>
          <w:bCs/>
        </w:rPr>
        <w:t>QISHLOQ HUDUDLARINI RIVOJLANTIRISH DASTURI</w:t>
      </w:r>
      <w:r>
        <w:rPr>
          <w:b/>
          <w:bCs/>
        </w:rPr>
        <w:t>”NING AHAMIYATI</w:t>
      </w:r>
    </w:p>
    <w:p w14:paraId="79202D72" w14:textId="77777777" w:rsidR="00CC68EB" w:rsidRDefault="00CC68EB" w:rsidP="00985072">
      <w:pPr>
        <w:widowControl w:val="0"/>
        <w:spacing w:after="0" w:line="276" w:lineRule="auto"/>
        <w:ind w:firstLine="709"/>
        <w:jc w:val="center"/>
        <w:rPr>
          <w:rFonts w:cs="Times New Roman"/>
          <w:b/>
          <w:bCs/>
        </w:rPr>
      </w:pPr>
    </w:p>
    <w:p w14:paraId="31E896F1" w14:textId="1A959FCD" w:rsidR="00222FC2" w:rsidRPr="004266E1" w:rsidRDefault="00222FC2" w:rsidP="00985072">
      <w:pPr>
        <w:widowControl w:val="0"/>
        <w:spacing w:after="0" w:line="276" w:lineRule="auto"/>
        <w:ind w:firstLine="709"/>
        <w:jc w:val="right"/>
        <w:rPr>
          <w:rFonts w:cs="Times New Roman"/>
          <w:b/>
          <w:bCs/>
          <w:i/>
          <w:iCs/>
        </w:rPr>
      </w:pPr>
      <w:bookmarkStart w:id="0" w:name="_GoBack"/>
      <w:r w:rsidRPr="004266E1">
        <w:rPr>
          <w:rFonts w:cs="Times New Roman"/>
          <w:b/>
          <w:bCs/>
          <w:i/>
          <w:iCs/>
        </w:rPr>
        <w:t>Axmedova O‘g‘ilshod Musurmonqul qizi</w:t>
      </w:r>
    </w:p>
    <w:bookmarkEnd w:id="0"/>
    <w:p w14:paraId="42F36A00" w14:textId="77777777" w:rsidR="00222FC2" w:rsidRPr="004266E1" w:rsidRDefault="00222FC2" w:rsidP="00985072">
      <w:pPr>
        <w:widowControl w:val="0"/>
        <w:spacing w:after="0" w:line="276" w:lineRule="auto"/>
        <w:ind w:firstLine="709"/>
        <w:jc w:val="right"/>
        <w:rPr>
          <w:rFonts w:cs="Times New Roman"/>
          <w:i/>
          <w:iCs/>
        </w:rPr>
      </w:pPr>
      <w:r w:rsidRPr="004266E1">
        <w:rPr>
          <w:rFonts w:cs="Times New Roman"/>
          <w:i/>
          <w:iCs/>
        </w:rPr>
        <w:t xml:space="preserve">Toshkent davlat iqtisodiyot universiteti huzuridagi “Oʻzbekiston iqtisodiyotini rivojlantirishning ilmiy asoslari va muammolari” ilmiy-tadqiqot markazi (PhD) doktoranti </w:t>
      </w:r>
    </w:p>
    <w:p w14:paraId="4C59F3BE" w14:textId="77777777" w:rsidR="00222FC2" w:rsidRPr="004266E1" w:rsidRDefault="00222FC2" w:rsidP="00985072">
      <w:pPr>
        <w:spacing w:after="0" w:line="276" w:lineRule="auto"/>
        <w:jc w:val="center"/>
        <w:rPr>
          <w:b/>
          <w:bCs/>
          <w:i/>
          <w:iCs/>
        </w:rPr>
      </w:pPr>
    </w:p>
    <w:p w14:paraId="6B6DDC80" w14:textId="77777777" w:rsidR="00985072" w:rsidRDefault="009947BD" w:rsidP="00985072">
      <w:pPr>
        <w:spacing w:after="0" w:line="276" w:lineRule="auto"/>
        <w:ind w:firstLine="709"/>
        <w:jc w:val="both"/>
        <w:rPr>
          <w:b/>
          <w:bCs/>
        </w:rPr>
      </w:pPr>
      <w:r w:rsidRPr="009947BD">
        <w:rPr>
          <w:b/>
          <w:bCs/>
        </w:rPr>
        <w:t>Kirish.</w:t>
      </w:r>
    </w:p>
    <w:p w14:paraId="08E5F2B6" w14:textId="4ED8BA3F" w:rsidR="00AD5A51" w:rsidRPr="00AD5A51" w:rsidRDefault="009947BD" w:rsidP="00985072">
      <w:pPr>
        <w:spacing w:after="0" w:line="276" w:lineRule="auto"/>
        <w:ind w:firstLine="709"/>
        <w:jc w:val="both"/>
      </w:pPr>
      <w:r>
        <w:t xml:space="preserve"> </w:t>
      </w:r>
      <w:r w:rsidR="00AD5A51" w:rsidRPr="00AD5A51">
        <w:t xml:space="preserve">Bangladesh global noaniqliklar sharoitida ham barqaror o‘sish va rivojlanish ko‘rsatkichlarini namoyon qilib kelmoqda. 1971-yilda mustaqillikka erishgach, mamlakat muntazam ravishda iqtisodiy o‘sish va qashshoqlikning kamayishiga erishdi. Avval dunyoning eng qashshoq davlatlaridan biri sifatida tanilgan Bangladesh 2015-yilda </w:t>
      </w:r>
      <w:r w:rsidR="00AD5A51">
        <w:t>“</w:t>
      </w:r>
      <w:r w:rsidR="00AD5A51" w:rsidRPr="00AD5A51">
        <w:t>past-o‘rta daromadli</w:t>
      </w:r>
      <w:r w:rsidR="00AD5A51">
        <w:t>”</w:t>
      </w:r>
      <w:r w:rsidR="00AD5A51" w:rsidRPr="00AD5A51">
        <w:t xml:space="preserve"> davlatlar qatoriga kirdi</w:t>
      </w:r>
      <w:r w:rsidR="00185793">
        <w:rPr>
          <w:rStyle w:val="af0"/>
        </w:rPr>
        <w:footnoteReference w:id="1"/>
      </w:r>
      <w:r w:rsidR="00AD5A51" w:rsidRPr="00AD5A51">
        <w:t>. 2010</w:t>
      </w:r>
      <w:r w:rsidR="00AD5A51">
        <w:t>-</w:t>
      </w:r>
      <w:r w:rsidR="00AD5A51" w:rsidRPr="00AD5A51">
        <w:t>2023-yillar mobaynida barqaror makroiqtisodiy sharoitlar tufayli real YAIMning o‘rtacha yillik o‘sishi 6,4 foizni tashkil etdi.</w:t>
      </w:r>
    </w:p>
    <w:p w14:paraId="789CF413" w14:textId="6927DB8C" w:rsidR="00AD5A51" w:rsidRPr="00AD5A51" w:rsidRDefault="00AD5A51" w:rsidP="00985072">
      <w:pPr>
        <w:spacing w:after="0" w:line="276" w:lineRule="auto"/>
        <w:ind w:firstLine="709"/>
        <w:jc w:val="both"/>
      </w:pPr>
      <w:r w:rsidRPr="00AD5A51">
        <w:t>Qashshoqlik darajasi 2010-yildagi 11,8 foizdan 2022-yilda 5,0 foizga tushdi (kuniga 2,15 AQSh dollari daromad mezoni bo‘yicha, 2017-yilgi sotib olish qobiliyati pariteti asosida). Xuddi shunday, o‘rtacha qashshoqlik darajasi ham 2010-yildagi 49,6 foizdan 2022-yilda 30 foizga kamaydi</w:t>
      </w:r>
      <w:r w:rsidR="00185793">
        <w:rPr>
          <w:rStyle w:val="af0"/>
        </w:rPr>
        <w:footnoteReference w:id="2"/>
      </w:r>
      <w:r w:rsidRPr="00AD5A51">
        <w:t xml:space="preserve"> (kuniga 3,65 AQSh dollari daromad mezoni bo‘yicha, 2017-yilgi</w:t>
      </w:r>
      <w:r>
        <w:t xml:space="preserve"> x</w:t>
      </w:r>
      <w:r w:rsidRPr="005342C0">
        <w:t>arid qobiliyati pariteti</w:t>
      </w:r>
      <w:r>
        <w:t xml:space="preserve"> bo‘yicha</w:t>
      </w:r>
      <w:r w:rsidRPr="00AD5A51">
        <w:t>).</w:t>
      </w:r>
    </w:p>
    <w:p w14:paraId="4C9541CF" w14:textId="53BF222E" w:rsidR="00334A47" w:rsidRDefault="00AD5A51" w:rsidP="00985072">
      <w:pPr>
        <w:spacing w:after="0" w:line="276" w:lineRule="auto"/>
        <w:ind w:firstLine="709"/>
        <w:jc w:val="both"/>
      </w:pPr>
      <w:r w:rsidRPr="00AD5A51">
        <w:t xml:space="preserve">Shuningdek, inson kapitali rivojlanishi yo‘nalishida ham ijobiy natijalarga erishildi: chaqaloqlar o‘limi va to‘yib ovqatlanmaslik darajasi kamaydi, savodxonlik darajasi va elektr energiyasidan foydalanish imkoniyati oshdi. </w:t>
      </w:r>
      <w:r w:rsidR="001E3753" w:rsidRPr="00643E3C">
        <w:t>BMT Taraqqiyot Dasturining (UNDP) 2023-yilgi Insoniy Rivojlanish Indeksida Bangladesh 193 mamlakat ichida 129-o‘rinni egallagan</w:t>
      </w:r>
      <w:r w:rsidR="00185793">
        <w:rPr>
          <w:rStyle w:val="af0"/>
        </w:rPr>
        <w:footnoteReference w:id="3"/>
      </w:r>
      <w:r w:rsidR="001E3753" w:rsidRPr="00643E3C">
        <w:t>.</w:t>
      </w:r>
    </w:p>
    <w:p w14:paraId="0979DF22" w14:textId="53B3353D" w:rsidR="00BB1D55" w:rsidRDefault="00AD5A51" w:rsidP="00985072">
      <w:pPr>
        <w:spacing w:after="0" w:line="276" w:lineRule="auto"/>
        <w:ind w:firstLine="709"/>
        <w:jc w:val="both"/>
        <w:rPr>
          <w:szCs w:val="28"/>
        </w:rPr>
      </w:pPr>
      <w:r>
        <w:t xml:space="preserve">Aynan bu o‘zgarish va rivojlanishlarda Bangladesh hukumati tomonidan olib borilayotgan moliyaviy islohotlarning ham o‘rni katta deya baholash mumkin. </w:t>
      </w:r>
      <w:r w:rsidR="00BB1D55" w:rsidRPr="00BB1D55">
        <w:rPr>
          <w:szCs w:val="28"/>
        </w:rPr>
        <w:t>Bangladeshda mikromoliya xizmatlari 4 ta turdagi tashkilotlar tomonidan t</w:t>
      </w:r>
      <w:r w:rsidR="00BB1D55">
        <w:rPr>
          <w:szCs w:val="28"/>
        </w:rPr>
        <w:t>a</w:t>
      </w:r>
      <w:r w:rsidR="00BB1D55" w:rsidRPr="00BB1D55">
        <w:rPr>
          <w:szCs w:val="28"/>
        </w:rPr>
        <w:t xml:space="preserve">qdim etiladi: </w:t>
      </w:r>
      <w:r w:rsidR="00BB1D55">
        <w:t xml:space="preserve">Bangladeshning </w:t>
      </w:r>
      <w:r w:rsidR="00BB1D55" w:rsidRPr="00CC134C">
        <w:t xml:space="preserve">Mikrokreditlarni </w:t>
      </w:r>
      <w:r w:rsidR="00BB1D55">
        <w:t>t</w:t>
      </w:r>
      <w:r w:rsidR="00BB1D55" w:rsidRPr="00CC134C">
        <w:t>artibga solish agentligi</w:t>
      </w:r>
      <w:r w:rsidR="00BB1D55">
        <w:t xml:space="preserve"> (</w:t>
      </w:r>
      <w:r w:rsidR="00BB1D55" w:rsidRPr="00CC134C">
        <w:t xml:space="preserve">Microcredit </w:t>
      </w:r>
      <w:r w:rsidR="00BB1D55" w:rsidRPr="00CC134C">
        <w:lastRenderedPageBreak/>
        <w:t xml:space="preserve">Regulatory Authority – MRA) </w:t>
      </w:r>
      <w:r w:rsidR="00BB1D55">
        <w:rPr>
          <w:szCs w:val="28"/>
        </w:rPr>
        <w:t xml:space="preserve">tomonidan </w:t>
      </w:r>
      <w:r w:rsidR="00BB1D55" w:rsidRPr="0050368C">
        <w:rPr>
          <w:szCs w:val="28"/>
        </w:rPr>
        <w:t xml:space="preserve">litsenziyalangan </w:t>
      </w:r>
      <w:r w:rsidR="00BB1D55">
        <w:rPr>
          <w:szCs w:val="28"/>
        </w:rPr>
        <w:t>mikromoliya tashkilot</w:t>
      </w:r>
      <w:r w:rsidR="00BB1D55" w:rsidRPr="00BB1D55">
        <w:rPr>
          <w:szCs w:val="28"/>
        </w:rPr>
        <w:t>lari</w:t>
      </w:r>
      <w:r w:rsidR="00BB1D55">
        <w:rPr>
          <w:szCs w:val="28"/>
        </w:rPr>
        <w:t>;</w:t>
      </w:r>
      <w:r w:rsidR="00BB1D55" w:rsidRPr="00BB1D55">
        <w:rPr>
          <w:szCs w:val="28"/>
        </w:rPr>
        <w:t xml:space="preserve"> </w:t>
      </w:r>
      <w:r w:rsidR="00BB1D55" w:rsidRPr="0050368C">
        <w:rPr>
          <w:szCs w:val="28"/>
        </w:rPr>
        <w:t>Grameen Bank</w:t>
      </w:r>
      <w:r w:rsidR="00BB1D55">
        <w:rPr>
          <w:szCs w:val="28"/>
        </w:rPr>
        <w:t>;</w:t>
      </w:r>
      <w:r w:rsidR="00BB1D55" w:rsidRPr="00BB1D55">
        <w:rPr>
          <w:szCs w:val="28"/>
        </w:rPr>
        <w:t xml:space="preserve"> </w:t>
      </w:r>
      <w:r w:rsidR="00BB1D55">
        <w:rPr>
          <w:szCs w:val="28"/>
        </w:rPr>
        <w:t>t</w:t>
      </w:r>
      <w:r w:rsidR="00BB1D55" w:rsidRPr="0050368C">
        <w:rPr>
          <w:szCs w:val="28"/>
        </w:rPr>
        <w:t xml:space="preserve">urli davlat idoralari </w:t>
      </w:r>
      <w:r w:rsidR="00BB1D55">
        <w:rPr>
          <w:szCs w:val="28"/>
        </w:rPr>
        <w:t>tomonidan</w:t>
      </w:r>
      <w:r w:rsidR="00BB1D55" w:rsidRPr="0050368C">
        <w:rPr>
          <w:szCs w:val="28"/>
        </w:rPr>
        <w:t xml:space="preserve"> maxsus dasturlar</w:t>
      </w:r>
      <w:r w:rsidR="00BB1D55">
        <w:rPr>
          <w:szCs w:val="28"/>
        </w:rPr>
        <w:t>;</w:t>
      </w:r>
      <w:r w:rsidR="00BB1D55" w:rsidRPr="00BB1D55">
        <w:rPr>
          <w:szCs w:val="28"/>
        </w:rPr>
        <w:t xml:space="preserve"> </w:t>
      </w:r>
      <w:r w:rsidR="00BB1D55">
        <w:rPr>
          <w:szCs w:val="28"/>
        </w:rPr>
        <w:t>d</w:t>
      </w:r>
      <w:r w:rsidR="00BB1D55" w:rsidRPr="0050368C">
        <w:rPr>
          <w:szCs w:val="28"/>
        </w:rPr>
        <w:t>avlat va nodavlat banklar</w:t>
      </w:r>
      <w:r w:rsidR="00BB1D55">
        <w:rPr>
          <w:szCs w:val="28"/>
        </w:rPr>
        <w:t>i</w:t>
      </w:r>
      <w:r w:rsidR="00185793">
        <w:rPr>
          <w:rStyle w:val="af0"/>
          <w:szCs w:val="28"/>
        </w:rPr>
        <w:footnoteReference w:id="4"/>
      </w:r>
      <w:r w:rsidR="00BB1D55">
        <w:rPr>
          <w:szCs w:val="28"/>
        </w:rPr>
        <w:t xml:space="preserve">. </w:t>
      </w:r>
    </w:p>
    <w:p w14:paraId="50FEEF51" w14:textId="77777777" w:rsidR="00985072" w:rsidRDefault="00DE1DDA" w:rsidP="00985072">
      <w:pPr>
        <w:spacing w:after="0" w:line="276" w:lineRule="auto"/>
        <w:ind w:firstLine="709"/>
        <w:jc w:val="both"/>
        <w:rPr>
          <w:b/>
          <w:bCs/>
          <w:szCs w:val="28"/>
        </w:rPr>
      </w:pPr>
      <w:r w:rsidRPr="00DE1DDA">
        <w:rPr>
          <w:b/>
          <w:bCs/>
          <w:szCs w:val="28"/>
        </w:rPr>
        <w:t>Adabiyotlar sharhi.</w:t>
      </w:r>
    </w:p>
    <w:p w14:paraId="7B2C8323" w14:textId="70B0FDA1" w:rsidR="00DE1DDA" w:rsidRPr="00DE1DDA" w:rsidRDefault="00DE1DDA" w:rsidP="00985072">
      <w:pPr>
        <w:spacing w:after="0" w:line="276" w:lineRule="auto"/>
        <w:ind w:firstLine="709"/>
        <w:jc w:val="both"/>
        <w:rPr>
          <w:szCs w:val="28"/>
        </w:rPr>
      </w:pPr>
      <w:r>
        <w:rPr>
          <w:szCs w:val="28"/>
        </w:rPr>
        <w:t xml:space="preserve"> </w:t>
      </w:r>
      <w:r w:rsidRPr="00DE1DDA">
        <w:rPr>
          <w:szCs w:val="28"/>
        </w:rPr>
        <w:t>Islom mikromoliya</w:t>
      </w:r>
      <w:r>
        <w:rPr>
          <w:szCs w:val="28"/>
        </w:rPr>
        <w:t>si</w:t>
      </w:r>
      <w:r w:rsidRPr="00DE1DDA">
        <w:rPr>
          <w:szCs w:val="28"/>
        </w:rPr>
        <w:t xml:space="preserve"> bo‘yicha adabiyotlarda kambag‘allik</w:t>
      </w:r>
      <w:r>
        <w:rPr>
          <w:szCs w:val="28"/>
        </w:rPr>
        <w:t xml:space="preserve"> darajasini yumshatish </w:t>
      </w:r>
      <w:r w:rsidRPr="00DE1DDA">
        <w:rPr>
          <w:szCs w:val="28"/>
        </w:rPr>
        <w:t>jarayonida ikki yo‘nalishni uyg‘unlashtirish zarurligi ta’kidlanadi: birinchisi – aholining hayotiy ehtiyojlarni ta’minlash faoliyati</w:t>
      </w:r>
      <w:r>
        <w:rPr>
          <w:szCs w:val="28"/>
        </w:rPr>
        <w:t>ni</w:t>
      </w:r>
      <w:r w:rsidRPr="00DE1DDA">
        <w:rPr>
          <w:szCs w:val="28"/>
        </w:rPr>
        <w:t xml:space="preserve"> qo‘llab-quvvatlash, ikkinchisi esa ularni rivojlanish bosqichiga olib chiqishdir. </w:t>
      </w:r>
      <w:r>
        <w:rPr>
          <w:szCs w:val="28"/>
        </w:rPr>
        <w:t>M.</w:t>
      </w:r>
      <w:r w:rsidRPr="00DE1DDA">
        <w:rPr>
          <w:szCs w:val="28"/>
        </w:rPr>
        <w:t>Obaidullah o‘z tadqiqotlarida garov talab qilinmasligi, kichik guruh kafolatlari, bosqichma-bosqich moliyalashtirish hamda jamg‘arma madaniyatini shakllantirish ushbu maqsadlarga erishishda asosiy mexanizmlar ekanini ko‘rsatadi</w:t>
      </w:r>
      <w:r>
        <w:rPr>
          <w:rStyle w:val="af0"/>
          <w:szCs w:val="28"/>
        </w:rPr>
        <w:footnoteReference w:id="5"/>
      </w:r>
      <w:r w:rsidRPr="00DE1DDA">
        <w:rPr>
          <w:szCs w:val="28"/>
        </w:rPr>
        <w:t>.</w:t>
      </w:r>
    </w:p>
    <w:p w14:paraId="75AFCA3A" w14:textId="0DEACBCC" w:rsidR="00DE1DDA" w:rsidRPr="00DE1DDA" w:rsidRDefault="00DE1DDA" w:rsidP="00985072">
      <w:pPr>
        <w:spacing w:after="0" w:line="276" w:lineRule="auto"/>
        <w:ind w:firstLine="709"/>
        <w:jc w:val="both"/>
        <w:rPr>
          <w:szCs w:val="28"/>
        </w:rPr>
      </w:pPr>
      <w:r>
        <w:rPr>
          <w:szCs w:val="28"/>
        </w:rPr>
        <w:t>A.</w:t>
      </w:r>
      <w:r w:rsidRPr="00DE1DDA">
        <w:rPr>
          <w:szCs w:val="28"/>
        </w:rPr>
        <w:t>Sarker tomonidan olib borilgan izlanishlarda Islami Bank Bangladesh PLC tarkibidagi “Qishloq hududlarini rivojlantirish dasturi” (</w:t>
      </w:r>
      <w:r>
        <w:rPr>
          <w:szCs w:val="28"/>
        </w:rPr>
        <w:t xml:space="preserve">Rural Development </w:t>
      </w:r>
      <w:r w:rsidRPr="00DE1DDA">
        <w:rPr>
          <w:szCs w:val="28"/>
        </w:rPr>
        <w:t>S</w:t>
      </w:r>
      <w:r>
        <w:rPr>
          <w:szCs w:val="28"/>
        </w:rPr>
        <w:t>cheme</w:t>
      </w:r>
      <w:r w:rsidRPr="00DE1DDA">
        <w:rPr>
          <w:szCs w:val="28"/>
        </w:rPr>
        <w:t>) innovatsion model sifatida tahlil qilinadi. Muallif dastur qishloq aholisining bandligini kengaytirishi, haftalik yig‘ilishlar va majburiy hamda ixtiyoriy jamg‘arma mexanizmlari orqali moliyaviy intizomni mustahkamlashi bilan ajralib turishini ta’kidlaydi</w:t>
      </w:r>
      <w:r>
        <w:rPr>
          <w:rStyle w:val="af0"/>
          <w:szCs w:val="28"/>
        </w:rPr>
        <w:footnoteReference w:id="6"/>
      </w:r>
      <w:r w:rsidRPr="00DE1DDA">
        <w:rPr>
          <w:szCs w:val="28"/>
        </w:rPr>
        <w:t>.</w:t>
      </w:r>
    </w:p>
    <w:p w14:paraId="73EDFE4A" w14:textId="1AE0CCB1" w:rsidR="00DE1DDA" w:rsidRPr="00DE1DDA" w:rsidRDefault="00DE1DDA" w:rsidP="00985072">
      <w:pPr>
        <w:spacing w:after="0" w:line="276" w:lineRule="auto"/>
        <w:ind w:firstLine="709"/>
        <w:jc w:val="both"/>
        <w:rPr>
          <w:szCs w:val="28"/>
        </w:rPr>
      </w:pPr>
      <w:r w:rsidRPr="00DE1DDA">
        <w:rPr>
          <w:szCs w:val="28"/>
        </w:rPr>
        <w:t>M.Islam esa RDS dasturining gender tenglikka ta’sirini empirik tahlil qilgan. Tadqiqot natijalari dastur ayollarning qaror qabul qilishdagi vakolatlari, daromad va mulkka egalik huquqi hamda ijtimoiy faoliyatdagi ishtirokini sezilarli darajada oshirganini ko‘rsatadi</w:t>
      </w:r>
      <w:r>
        <w:rPr>
          <w:rStyle w:val="af0"/>
          <w:szCs w:val="28"/>
        </w:rPr>
        <w:footnoteReference w:id="7"/>
      </w:r>
      <w:r w:rsidRPr="00DE1DDA">
        <w:rPr>
          <w:szCs w:val="28"/>
        </w:rPr>
        <w:t>. Bu esa islomiy mikromoliya nafaqat iqtisodiy, balki ijtimoiy barqarorlikni ham kuchaytirishini anglatadi.</w:t>
      </w:r>
    </w:p>
    <w:p w14:paraId="0C415A64" w14:textId="4DDE2B93" w:rsidR="00DE1DDA" w:rsidRPr="00DE1DDA" w:rsidRDefault="00DE1DDA" w:rsidP="00985072">
      <w:pPr>
        <w:spacing w:after="0" w:line="276" w:lineRule="auto"/>
        <w:ind w:firstLine="709"/>
        <w:jc w:val="both"/>
        <w:rPr>
          <w:szCs w:val="28"/>
        </w:rPr>
      </w:pPr>
      <w:r>
        <w:rPr>
          <w:szCs w:val="28"/>
        </w:rPr>
        <w:t>M.</w:t>
      </w:r>
      <w:r w:rsidRPr="00DE1DDA">
        <w:rPr>
          <w:szCs w:val="28"/>
        </w:rPr>
        <w:t>Rahman va hammualliflarning tadqiqotida RDS dasturi boshqa nodavlat mikrokredit dasturlari bilan taqqoslanib, uning ustun jihatlari sifatida yuqori qaytarilish darajasi, shariatga mos moliyaviy vositalardan foydalanish va muntazam monitoring tizimi qayd etilgan. Mualliflarning fikricha, ushbu omillar dastur samaradorligini oshirib, moliyaviy intizomni mustahkamlaydi</w:t>
      </w:r>
      <w:r>
        <w:rPr>
          <w:rStyle w:val="af0"/>
          <w:szCs w:val="28"/>
        </w:rPr>
        <w:footnoteReference w:id="8"/>
      </w:r>
      <w:r w:rsidRPr="00DE1DDA">
        <w:rPr>
          <w:szCs w:val="28"/>
        </w:rPr>
        <w:t>.</w:t>
      </w:r>
    </w:p>
    <w:p w14:paraId="42356B65" w14:textId="0C8374B2" w:rsidR="00DE1DDA" w:rsidRPr="00DE1DDA" w:rsidRDefault="00DE1DDA" w:rsidP="00985072">
      <w:pPr>
        <w:spacing w:after="0" w:line="276" w:lineRule="auto"/>
        <w:ind w:firstLine="709"/>
        <w:jc w:val="both"/>
        <w:rPr>
          <w:szCs w:val="28"/>
        </w:rPr>
      </w:pPr>
      <w:r w:rsidRPr="00DE1DDA">
        <w:rPr>
          <w:szCs w:val="28"/>
        </w:rPr>
        <w:t xml:space="preserve">Xalqaro tajribani qamrab olgan Özdemirning izlanishlarida RDS modeli boshqa davlatlarda ham qo‘llanilishi mumkinligi asoslab beriladi. Uning fikriga ko‘ra, agar bank tizimi, waqf tashkilotlari va davlat nazorat organlari o‘rtasida hamkorlik yo‘lga </w:t>
      </w:r>
      <w:r w:rsidRPr="00DE1DDA">
        <w:rPr>
          <w:szCs w:val="28"/>
        </w:rPr>
        <w:lastRenderedPageBreak/>
        <w:t>qo‘yilsa, RDS tajribasi institutsional jihatdan ko‘chirilishi va samarali natija berishi mumkin</w:t>
      </w:r>
      <w:r>
        <w:rPr>
          <w:rStyle w:val="af0"/>
          <w:szCs w:val="28"/>
        </w:rPr>
        <w:footnoteReference w:id="9"/>
      </w:r>
      <w:r w:rsidRPr="00DE1DDA">
        <w:rPr>
          <w:szCs w:val="28"/>
        </w:rPr>
        <w:t>.</w:t>
      </w:r>
    </w:p>
    <w:p w14:paraId="1665DCF5" w14:textId="7734C49A" w:rsidR="00DE1DDA" w:rsidRDefault="00DE1DDA" w:rsidP="00985072">
      <w:pPr>
        <w:spacing w:after="0" w:line="276" w:lineRule="auto"/>
        <w:ind w:firstLine="709"/>
        <w:jc w:val="both"/>
        <w:rPr>
          <w:szCs w:val="28"/>
        </w:rPr>
      </w:pPr>
      <w:r w:rsidRPr="00DE1DDA">
        <w:rPr>
          <w:szCs w:val="28"/>
        </w:rPr>
        <w:t>Umuman olganda, ilmiy manbalarda RDS dasturi</w:t>
      </w:r>
      <w:r>
        <w:rPr>
          <w:szCs w:val="28"/>
        </w:rPr>
        <w:t xml:space="preserve"> aholining</w:t>
      </w:r>
      <w:r w:rsidRPr="00DE1DDA">
        <w:rPr>
          <w:szCs w:val="28"/>
        </w:rPr>
        <w:t xml:space="preserve"> kambag‘allik </w:t>
      </w:r>
      <w:r>
        <w:rPr>
          <w:szCs w:val="28"/>
        </w:rPr>
        <w:t>darajasini yumshatish</w:t>
      </w:r>
      <w:r w:rsidRPr="00DE1DDA">
        <w:rPr>
          <w:szCs w:val="28"/>
        </w:rPr>
        <w:t>, moliyaviy intizomni kuchaytirish hamda ayollarning iqtisodiy va ijtimoiy faolligini oshirishda samarali model sifatida baholanadi.</w:t>
      </w:r>
    </w:p>
    <w:p w14:paraId="477B1C34" w14:textId="77777777" w:rsidR="00985072" w:rsidRDefault="00985072" w:rsidP="00985072">
      <w:pPr>
        <w:spacing w:after="0" w:line="276" w:lineRule="auto"/>
        <w:ind w:firstLine="709"/>
        <w:jc w:val="both"/>
        <w:rPr>
          <w:b/>
          <w:bCs/>
          <w:szCs w:val="28"/>
        </w:rPr>
      </w:pPr>
    </w:p>
    <w:p w14:paraId="02362352" w14:textId="5F2FCA92" w:rsidR="00420BE1" w:rsidRPr="00916DFA" w:rsidRDefault="00185793" w:rsidP="00985072">
      <w:pPr>
        <w:spacing w:after="0" w:line="276" w:lineRule="auto"/>
        <w:ind w:firstLine="709"/>
        <w:jc w:val="both"/>
        <w:rPr>
          <w:szCs w:val="28"/>
        </w:rPr>
      </w:pPr>
      <w:r w:rsidRPr="00420BE1">
        <w:rPr>
          <w:b/>
          <w:bCs/>
          <w:szCs w:val="28"/>
        </w:rPr>
        <w:t>Tadqiqot metodologiyasi</w:t>
      </w:r>
      <w:r w:rsidR="00420BE1" w:rsidRPr="00420BE1">
        <w:rPr>
          <w:b/>
          <w:bCs/>
          <w:szCs w:val="28"/>
          <w:lang w:val="uz-Cyrl-UZ"/>
        </w:rPr>
        <w:t>.</w:t>
      </w:r>
      <w:r>
        <w:rPr>
          <w:b/>
          <w:bCs/>
          <w:szCs w:val="28"/>
        </w:rPr>
        <w:t xml:space="preserve"> </w:t>
      </w:r>
      <w:r w:rsidR="00420BE1" w:rsidRPr="00916DFA">
        <w:rPr>
          <w:szCs w:val="28"/>
        </w:rPr>
        <w:t>Mazkur maqolani tayyorlash jarayonida asosiy manbalar sifatida Bangladesh Respublikasining moliyaviy sektoriga oid ochiq ma’lumotlar bazalari, Microcredit Regulatory Authority (MRA) tomonidan e’lon qilingan statistik hisobotlar, Islami Bank Bangladesh PLC (IBBPLC)ning 2010</w:t>
      </w:r>
      <w:r w:rsidR="00420BE1">
        <w:rPr>
          <w:szCs w:val="28"/>
        </w:rPr>
        <w:t>-</w:t>
      </w:r>
      <w:r w:rsidR="00420BE1" w:rsidRPr="00916DFA">
        <w:rPr>
          <w:szCs w:val="28"/>
        </w:rPr>
        <w:t>2022-yillarga oid yillik hisobotlari, shuningdek, Jahon bankining rasmiy tahliliy hujjatlaridan foydalanildi. Bundan tashqari, xalqaro tajribani qiyosiy o‘rganish maqsadida Indoneziya va boshqa musulmon mamlakatlarida mikromoliyaning rivojlanishi haqidagi ilmiy maqolalar va monografiyalar tahlil qilindi.</w:t>
      </w:r>
    </w:p>
    <w:p w14:paraId="71F5C20D" w14:textId="77777777" w:rsidR="00420BE1" w:rsidRPr="00916DFA" w:rsidRDefault="00420BE1" w:rsidP="00985072">
      <w:pPr>
        <w:spacing w:after="0" w:line="276" w:lineRule="auto"/>
        <w:ind w:firstLine="709"/>
        <w:jc w:val="both"/>
        <w:rPr>
          <w:szCs w:val="28"/>
        </w:rPr>
      </w:pPr>
      <w:r w:rsidRPr="00916DFA">
        <w:rPr>
          <w:szCs w:val="28"/>
        </w:rPr>
        <w:t>Tadqiqot metodologiyasi sifatida bir nechta ilmiy-uslubiy yondashuvlar qo‘llanildi. Birinchidan, statistik tahlil usuli asosida 2010</w:t>
      </w:r>
      <w:r>
        <w:rPr>
          <w:szCs w:val="28"/>
        </w:rPr>
        <w:t>-</w:t>
      </w:r>
      <w:r w:rsidRPr="00916DFA">
        <w:rPr>
          <w:szCs w:val="28"/>
        </w:rPr>
        <w:t xml:space="preserve">2023-yillar oralig‘ida Bangladeshdagi mikromoliya sektorining asosiy ko‘rsatkichlari – mijozlar soni, qarz oluvchilar soni, kredit va jamg‘arma hajmi, qaytarilish darajasi – dinamikasi o‘rganildi. Ikkinchidan, qiyosiy tahlil usuli orqali Bangladeshdagi Islami Bank Bangladesh PLC (IBBPLC)ning Rural Development Scheme (RDS) dasturi </w:t>
      </w:r>
      <w:r>
        <w:rPr>
          <w:szCs w:val="28"/>
        </w:rPr>
        <w:t>tahlil qilindi</w:t>
      </w:r>
      <w:r w:rsidRPr="00916DFA">
        <w:rPr>
          <w:szCs w:val="28"/>
        </w:rPr>
        <w:t xml:space="preserve">. </w:t>
      </w:r>
      <w:r>
        <w:rPr>
          <w:szCs w:val="28"/>
        </w:rPr>
        <w:t>Shu bilan birga</w:t>
      </w:r>
      <w:r w:rsidRPr="00916DFA">
        <w:rPr>
          <w:szCs w:val="28"/>
        </w:rPr>
        <w:t>, tizimli yondashuv asosida RDS dasturining qashshoqlikni kamaytirish, moliyaviy inklyuziyani kengaytirish va gender tengligini ta’minlashdagi o‘rni baholandi.</w:t>
      </w:r>
    </w:p>
    <w:p w14:paraId="6A359D84" w14:textId="77777777" w:rsidR="00985072" w:rsidRDefault="00985072" w:rsidP="00985072">
      <w:pPr>
        <w:spacing w:after="0" w:line="276" w:lineRule="auto"/>
        <w:ind w:firstLine="709"/>
        <w:jc w:val="both"/>
        <w:rPr>
          <w:b/>
          <w:bCs/>
          <w:szCs w:val="28"/>
          <w:lang w:val="uz-Cyrl-UZ"/>
        </w:rPr>
      </w:pPr>
    </w:p>
    <w:p w14:paraId="2F569DFA" w14:textId="5467020D" w:rsidR="00AD5A51" w:rsidRDefault="00420BE1" w:rsidP="00985072">
      <w:pPr>
        <w:spacing w:after="0" w:line="276" w:lineRule="auto"/>
        <w:ind w:firstLine="709"/>
        <w:jc w:val="both"/>
      </w:pPr>
      <w:r w:rsidRPr="00420BE1">
        <w:rPr>
          <w:b/>
          <w:bCs/>
          <w:szCs w:val="28"/>
          <w:lang w:val="uz-Cyrl-UZ"/>
        </w:rPr>
        <w:t>Tahlil va natijalar muhokamasi</w:t>
      </w:r>
      <w:r w:rsidR="00916DFA" w:rsidRPr="00916DFA">
        <w:rPr>
          <w:b/>
          <w:bCs/>
          <w:szCs w:val="28"/>
        </w:rPr>
        <w:t>.</w:t>
      </w:r>
      <w:r w:rsidR="00916DFA">
        <w:rPr>
          <w:szCs w:val="28"/>
        </w:rPr>
        <w:t xml:space="preserve"> </w:t>
      </w:r>
      <w:r w:rsidR="00AD5A51" w:rsidRPr="00AD5A51">
        <w:rPr>
          <w:szCs w:val="28"/>
        </w:rPr>
        <w:t>So‘ngi yillardagi ma’lumotlarga qaraydigan bo‘lsak</w:t>
      </w:r>
      <w:r w:rsidR="00AD5A51">
        <w:rPr>
          <w:szCs w:val="28"/>
        </w:rPr>
        <w:t>,</w:t>
      </w:r>
      <w:r w:rsidR="00AD5A51" w:rsidRPr="00AD5A51">
        <w:t xml:space="preserve"> Bangladesh mikromoliya sektori makro va mikro darajada sezilarli ta’sir ko‘rsat</w:t>
      </w:r>
      <w:r w:rsidR="00AD5A51">
        <w:t>moqda</w:t>
      </w:r>
      <w:r w:rsidR="00AD5A51" w:rsidRPr="00AD5A51">
        <w:t xml:space="preserve">. </w:t>
      </w:r>
      <w:r w:rsidR="00AD5A51" w:rsidRPr="00BB1D55">
        <w:t>2022</w:t>
      </w:r>
      <w:r w:rsidR="00AD5A51" w:rsidRPr="00AD5A51">
        <w:t>-</w:t>
      </w:r>
      <w:r w:rsidR="00AD5A51" w:rsidRPr="00BB1D55">
        <w:t>2023</w:t>
      </w:r>
      <w:r w:rsidR="00AD5A51" w:rsidRPr="00AD5A51">
        <w:t xml:space="preserve">-moliya </w:t>
      </w:r>
      <w:r w:rsidR="00AD5A51" w:rsidRPr="00BB1D55">
        <w:t>yil</w:t>
      </w:r>
      <w:r w:rsidR="00AD5A51" w:rsidRPr="00AD5A51">
        <w:t>i</w:t>
      </w:r>
      <w:r w:rsidR="00AD5A51" w:rsidRPr="00BB1D55">
        <w:t xml:space="preserve">da </w:t>
      </w:r>
      <w:r w:rsidR="00AD5A51" w:rsidRPr="001B39EA">
        <w:t>j</w:t>
      </w:r>
      <w:r w:rsidR="00AD5A51" w:rsidRPr="00AD5A51">
        <w:t xml:space="preserve">ami 2861,74 mlrd </w:t>
      </w:r>
      <w:r w:rsidR="00C14D46">
        <w:t>bangladesh takasi (</w:t>
      </w:r>
      <w:r w:rsidR="00AD5A51" w:rsidRPr="00AD5A51">
        <w:t>BDT</w:t>
      </w:r>
      <w:r w:rsidR="00C14D46">
        <w:t>, taka)</w:t>
      </w:r>
      <w:r w:rsidR="00AD5A51" w:rsidRPr="00AD5A51">
        <w:t xml:space="preserve"> mikrokred</w:t>
      </w:r>
      <w:r w:rsidR="00AD5A51" w:rsidRPr="001B39EA">
        <w:t>it</w:t>
      </w:r>
      <w:r w:rsidR="00AD5A51" w:rsidRPr="00AD5A51">
        <w:t>lar ajratilib, iqtisodiyotga katta hajmda kapital yo‘naltirildi</w:t>
      </w:r>
      <w:r w:rsidR="00AD5A51" w:rsidRPr="001B39EA">
        <w:t>,</w:t>
      </w:r>
      <w:r w:rsidR="00AD5A51" w:rsidRPr="00AD5A51">
        <w:t xml:space="preserve"> bu investitsiyalar bandlik va tadbirkorlikni rag‘batlantiradi</w:t>
      </w:r>
      <w:r w:rsidR="00185793">
        <w:rPr>
          <w:rStyle w:val="af0"/>
        </w:rPr>
        <w:footnoteReference w:id="10"/>
      </w:r>
      <w:r w:rsidR="000813E8">
        <w:t xml:space="preserve"> (1-jadval)</w:t>
      </w:r>
      <w:r w:rsidR="00AD5A51" w:rsidRPr="00AD5A51">
        <w:t>.</w:t>
      </w:r>
    </w:p>
    <w:p w14:paraId="0EC67F86" w14:textId="7016E023" w:rsidR="00985072" w:rsidRDefault="00985072" w:rsidP="00985072">
      <w:pPr>
        <w:spacing w:after="0" w:line="276" w:lineRule="auto"/>
        <w:ind w:firstLine="709"/>
        <w:jc w:val="both"/>
      </w:pPr>
    </w:p>
    <w:p w14:paraId="38A1A237" w14:textId="2BD8E96E" w:rsidR="00985072" w:rsidRDefault="00985072" w:rsidP="00985072">
      <w:pPr>
        <w:spacing w:after="0" w:line="276" w:lineRule="auto"/>
        <w:ind w:firstLine="709"/>
        <w:jc w:val="both"/>
      </w:pPr>
    </w:p>
    <w:p w14:paraId="3B7FE572" w14:textId="34922101" w:rsidR="00985072" w:rsidRDefault="00985072" w:rsidP="00985072">
      <w:pPr>
        <w:spacing w:after="0" w:line="276" w:lineRule="auto"/>
        <w:ind w:firstLine="709"/>
        <w:jc w:val="both"/>
      </w:pPr>
    </w:p>
    <w:p w14:paraId="6508EDFD" w14:textId="77777777" w:rsidR="00985072" w:rsidRPr="00420BE1" w:rsidRDefault="00985072" w:rsidP="00985072">
      <w:pPr>
        <w:spacing w:after="0" w:line="276" w:lineRule="auto"/>
        <w:ind w:firstLine="709"/>
        <w:jc w:val="both"/>
        <w:rPr>
          <w:szCs w:val="28"/>
        </w:rPr>
      </w:pPr>
    </w:p>
    <w:p w14:paraId="1FA06E72" w14:textId="2744E68B" w:rsidR="0050368C" w:rsidRPr="0050368C" w:rsidRDefault="000813E8" w:rsidP="00985072">
      <w:pPr>
        <w:spacing w:after="0" w:line="276" w:lineRule="auto"/>
        <w:ind w:firstLine="709"/>
        <w:jc w:val="right"/>
        <w:rPr>
          <w:b/>
          <w:bCs/>
        </w:rPr>
      </w:pPr>
      <w:r>
        <w:rPr>
          <w:b/>
          <w:bCs/>
        </w:rPr>
        <w:lastRenderedPageBreak/>
        <w:t>1</w:t>
      </w:r>
      <w:r w:rsidR="0050368C" w:rsidRPr="000813E8">
        <w:rPr>
          <w:b/>
          <w:bCs/>
        </w:rPr>
        <w:t>-</w:t>
      </w:r>
      <w:r w:rsidR="0050368C" w:rsidRPr="0050368C">
        <w:rPr>
          <w:b/>
          <w:bCs/>
        </w:rPr>
        <w:t>jadval</w:t>
      </w:r>
      <w:r w:rsidR="0050368C" w:rsidRPr="000813E8">
        <w:rPr>
          <w:b/>
          <w:bCs/>
        </w:rPr>
        <w:t>.</w:t>
      </w:r>
    </w:p>
    <w:p w14:paraId="552904C0" w14:textId="5DD97C81" w:rsidR="0050368C" w:rsidRPr="0050368C" w:rsidRDefault="0050368C" w:rsidP="00985072">
      <w:pPr>
        <w:spacing w:after="0" w:line="276" w:lineRule="auto"/>
        <w:jc w:val="center"/>
        <w:rPr>
          <w:b/>
          <w:bCs/>
        </w:rPr>
      </w:pPr>
      <w:r w:rsidRPr="0050368C">
        <w:rPr>
          <w:b/>
          <w:bCs/>
        </w:rPr>
        <w:t>2022-2023-moliya yilida Bangladesh mikromoliya sektori bo‘yicha asosiy ko‘rsatkichlar</w:t>
      </w:r>
      <w:r w:rsidR="00185793" w:rsidRPr="00185793">
        <w:rPr>
          <w:rStyle w:val="af0"/>
          <w:b/>
          <w:bCs/>
        </w:rPr>
        <w:footnoteReference w:id="11"/>
      </w:r>
    </w:p>
    <w:tbl>
      <w:tblPr>
        <w:tblStyle w:val="ac"/>
        <w:tblW w:w="0" w:type="auto"/>
        <w:tblLayout w:type="fixed"/>
        <w:tblLook w:val="04A0" w:firstRow="1" w:lastRow="0" w:firstColumn="1" w:lastColumn="0" w:noHBand="0" w:noVBand="1"/>
      </w:tblPr>
      <w:tblGrid>
        <w:gridCol w:w="2373"/>
        <w:gridCol w:w="1210"/>
        <w:gridCol w:w="1452"/>
        <w:gridCol w:w="1314"/>
        <w:gridCol w:w="1907"/>
        <w:gridCol w:w="1423"/>
      </w:tblGrid>
      <w:tr w:rsidR="0050368C" w:rsidRPr="0050368C" w14:paraId="3E92B6CC" w14:textId="77777777" w:rsidTr="0050368C">
        <w:tc>
          <w:tcPr>
            <w:tcW w:w="2373" w:type="dxa"/>
            <w:shd w:val="clear" w:color="auto" w:fill="BDD6EE" w:themeFill="accent1" w:themeFillTint="66"/>
            <w:vAlign w:val="center"/>
            <w:hideMark/>
          </w:tcPr>
          <w:p w14:paraId="0289A1CA" w14:textId="77777777" w:rsidR="0050368C" w:rsidRPr="0050368C" w:rsidRDefault="0050368C" w:rsidP="00985072">
            <w:pPr>
              <w:spacing w:line="276" w:lineRule="auto"/>
              <w:jc w:val="center"/>
              <w:rPr>
                <w:b/>
                <w:bCs/>
                <w:sz w:val="24"/>
                <w:szCs w:val="20"/>
                <w:lang w:val="ru-RU"/>
              </w:rPr>
            </w:pPr>
            <w:r w:rsidRPr="0050368C">
              <w:rPr>
                <w:b/>
                <w:bCs/>
                <w:sz w:val="24"/>
                <w:szCs w:val="20"/>
                <w:lang w:val="ru-RU"/>
              </w:rPr>
              <w:t>Ta’rif</w:t>
            </w:r>
          </w:p>
        </w:tc>
        <w:tc>
          <w:tcPr>
            <w:tcW w:w="1210" w:type="dxa"/>
            <w:shd w:val="clear" w:color="auto" w:fill="BDD6EE" w:themeFill="accent1" w:themeFillTint="66"/>
            <w:vAlign w:val="center"/>
            <w:hideMark/>
          </w:tcPr>
          <w:p w14:paraId="751086F0" w14:textId="77777777" w:rsidR="0050368C" w:rsidRPr="0050368C" w:rsidRDefault="0050368C" w:rsidP="00985072">
            <w:pPr>
              <w:spacing w:line="276" w:lineRule="auto"/>
              <w:jc w:val="center"/>
              <w:rPr>
                <w:b/>
                <w:bCs/>
                <w:sz w:val="24"/>
                <w:szCs w:val="20"/>
                <w:lang w:val="ru-RU"/>
              </w:rPr>
            </w:pPr>
            <w:r w:rsidRPr="0050368C">
              <w:rPr>
                <w:b/>
                <w:bCs/>
                <w:sz w:val="24"/>
                <w:szCs w:val="20"/>
                <w:lang w:val="ru-RU"/>
              </w:rPr>
              <w:t>Mijozlar (mln)</w:t>
            </w:r>
          </w:p>
        </w:tc>
        <w:tc>
          <w:tcPr>
            <w:tcW w:w="1452" w:type="dxa"/>
            <w:shd w:val="clear" w:color="auto" w:fill="BDD6EE" w:themeFill="accent1" w:themeFillTint="66"/>
            <w:vAlign w:val="center"/>
            <w:hideMark/>
          </w:tcPr>
          <w:p w14:paraId="1615AD1D" w14:textId="77777777" w:rsidR="0050368C" w:rsidRPr="0050368C" w:rsidRDefault="0050368C" w:rsidP="00985072">
            <w:pPr>
              <w:spacing w:line="276" w:lineRule="auto"/>
              <w:jc w:val="center"/>
              <w:rPr>
                <w:b/>
                <w:bCs/>
                <w:sz w:val="24"/>
                <w:szCs w:val="20"/>
                <w:lang w:val="ru-RU"/>
              </w:rPr>
            </w:pPr>
            <w:r w:rsidRPr="0050368C">
              <w:rPr>
                <w:b/>
                <w:bCs/>
                <w:sz w:val="24"/>
                <w:szCs w:val="20"/>
                <w:lang w:val="ru-RU"/>
              </w:rPr>
              <w:t>Qarz oluvchilar (mln)</w:t>
            </w:r>
          </w:p>
        </w:tc>
        <w:tc>
          <w:tcPr>
            <w:tcW w:w="1314" w:type="dxa"/>
            <w:shd w:val="clear" w:color="auto" w:fill="BDD6EE" w:themeFill="accent1" w:themeFillTint="66"/>
            <w:vAlign w:val="center"/>
            <w:hideMark/>
          </w:tcPr>
          <w:p w14:paraId="589EE8C2" w14:textId="77777777" w:rsidR="0050368C" w:rsidRPr="0050368C" w:rsidRDefault="0050368C" w:rsidP="00985072">
            <w:pPr>
              <w:spacing w:line="276" w:lineRule="auto"/>
              <w:jc w:val="center"/>
              <w:rPr>
                <w:b/>
                <w:bCs/>
                <w:sz w:val="24"/>
                <w:szCs w:val="20"/>
              </w:rPr>
            </w:pPr>
            <w:r w:rsidRPr="0050368C">
              <w:rPr>
                <w:b/>
                <w:bCs/>
                <w:sz w:val="24"/>
                <w:szCs w:val="20"/>
              </w:rPr>
              <w:t>Qarz qoldig‘i (mlrd BDT)</w:t>
            </w:r>
          </w:p>
        </w:tc>
        <w:tc>
          <w:tcPr>
            <w:tcW w:w="1907" w:type="dxa"/>
            <w:shd w:val="clear" w:color="auto" w:fill="BDD6EE" w:themeFill="accent1" w:themeFillTint="66"/>
            <w:vAlign w:val="center"/>
            <w:hideMark/>
          </w:tcPr>
          <w:p w14:paraId="63542F4B" w14:textId="77777777" w:rsidR="0050368C" w:rsidRPr="0050368C" w:rsidRDefault="0050368C" w:rsidP="00985072">
            <w:pPr>
              <w:spacing w:line="276" w:lineRule="auto"/>
              <w:jc w:val="center"/>
              <w:rPr>
                <w:b/>
                <w:bCs/>
                <w:sz w:val="24"/>
                <w:szCs w:val="20"/>
                <w:lang w:val="ru-RU"/>
              </w:rPr>
            </w:pPr>
            <w:r w:rsidRPr="0050368C">
              <w:rPr>
                <w:b/>
                <w:bCs/>
                <w:sz w:val="24"/>
                <w:szCs w:val="20"/>
                <w:lang w:val="ru-RU"/>
              </w:rPr>
              <w:t>Jamg‘armalar (mlrd BDT)</w:t>
            </w:r>
          </w:p>
        </w:tc>
        <w:tc>
          <w:tcPr>
            <w:tcW w:w="1423" w:type="dxa"/>
            <w:shd w:val="clear" w:color="auto" w:fill="BDD6EE" w:themeFill="accent1" w:themeFillTint="66"/>
            <w:vAlign w:val="center"/>
            <w:hideMark/>
          </w:tcPr>
          <w:p w14:paraId="2FA741C4" w14:textId="77777777" w:rsidR="0050368C" w:rsidRPr="0050368C" w:rsidRDefault="0050368C" w:rsidP="00985072">
            <w:pPr>
              <w:spacing w:line="276" w:lineRule="auto"/>
              <w:jc w:val="center"/>
              <w:rPr>
                <w:b/>
                <w:bCs/>
                <w:sz w:val="24"/>
                <w:szCs w:val="20"/>
                <w:lang w:val="ru-RU"/>
              </w:rPr>
            </w:pPr>
            <w:r w:rsidRPr="0050368C">
              <w:rPr>
                <w:b/>
                <w:bCs/>
                <w:sz w:val="24"/>
                <w:szCs w:val="20"/>
                <w:lang w:val="ru-RU"/>
              </w:rPr>
              <w:t>Berilgan kredit (mlrd BDT)</w:t>
            </w:r>
          </w:p>
        </w:tc>
      </w:tr>
      <w:tr w:rsidR="0050368C" w:rsidRPr="0050368C" w14:paraId="50007460" w14:textId="77777777" w:rsidTr="0050368C">
        <w:tc>
          <w:tcPr>
            <w:tcW w:w="2373" w:type="dxa"/>
            <w:vAlign w:val="center"/>
            <w:hideMark/>
          </w:tcPr>
          <w:p w14:paraId="1D7B8B99" w14:textId="1BA8BBA1" w:rsidR="0050368C" w:rsidRPr="0050368C" w:rsidRDefault="0050368C" w:rsidP="00985072">
            <w:pPr>
              <w:spacing w:line="276" w:lineRule="auto"/>
              <w:jc w:val="center"/>
              <w:rPr>
                <w:sz w:val="24"/>
                <w:szCs w:val="20"/>
              </w:rPr>
            </w:pPr>
            <w:r w:rsidRPr="0050368C">
              <w:rPr>
                <w:sz w:val="24"/>
                <w:szCs w:val="20"/>
                <w:lang w:val="ru-RU"/>
              </w:rPr>
              <w:t>MRA litsenziyalangan M</w:t>
            </w:r>
            <w:r>
              <w:rPr>
                <w:sz w:val="24"/>
                <w:szCs w:val="20"/>
              </w:rPr>
              <w:t>MTlari</w:t>
            </w:r>
          </w:p>
        </w:tc>
        <w:tc>
          <w:tcPr>
            <w:tcW w:w="1210" w:type="dxa"/>
            <w:vAlign w:val="center"/>
            <w:hideMark/>
          </w:tcPr>
          <w:p w14:paraId="27A73E1B" w14:textId="77777777" w:rsidR="0050368C" w:rsidRPr="0050368C" w:rsidRDefault="0050368C" w:rsidP="00985072">
            <w:pPr>
              <w:spacing w:line="276" w:lineRule="auto"/>
              <w:jc w:val="center"/>
              <w:rPr>
                <w:sz w:val="24"/>
                <w:szCs w:val="20"/>
                <w:lang w:val="ru-RU"/>
              </w:rPr>
            </w:pPr>
            <w:r w:rsidRPr="0050368C">
              <w:rPr>
                <w:sz w:val="24"/>
                <w:szCs w:val="20"/>
                <w:lang w:val="ru-RU"/>
              </w:rPr>
              <w:t>40,86</w:t>
            </w:r>
          </w:p>
        </w:tc>
        <w:tc>
          <w:tcPr>
            <w:tcW w:w="1452" w:type="dxa"/>
            <w:vAlign w:val="center"/>
            <w:hideMark/>
          </w:tcPr>
          <w:p w14:paraId="56065D43" w14:textId="77777777" w:rsidR="0050368C" w:rsidRPr="0050368C" w:rsidRDefault="0050368C" w:rsidP="00985072">
            <w:pPr>
              <w:spacing w:line="276" w:lineRule="auto"/>
              <w:jc w:val="center"/>
              <w:rPr>
                <w:sz w:val="24"/>
                <w:szCs w:val="20"/>
                <w:lang w:val="ru-RU"/>
              </w:rPr>
            </w:pPr>
            <w:r w:rsidRPr="0050368C">
              <w:rPr>
                <w:sz w:val="24"/>
                <w:szCs w:val="20"/>
                <w:lang w:val="ru-RU"/>
              </w:rPr>
              <w:t>31,53</w:t>
            </w:r>
          </w:p>
        </w:tc>
        <w:tc>
          <w:tcPr>
            <w:tcW w:w="1314" w:type="dxa"/>
            <w:vAlign w:val="center"/>
            <w:hideMark/>
          </w:tcPr>
          <w:p w14:paraId="4D34A9CE" w14:textId="77777777" w:rsidR="0050368C" w:rsidRPr="0050368C" w:rsidRDefault="0050368C" w:rsidP="00985072">
            <w:pPr>
              <w:spacing w:line="276" w:lineRule="auto"/>
              <w:jc w:val="center"/>
              <w:rPr>
                <w:sz w:val="24"/>
                <w:szCs w:val="20"/>
                <w:lang w:val="ru-RU"/>
              </w:rPr>
            </w:pPr>
            <w:r w:rsidRPr="0050368C">
              <w:rPr>
                <w:sz w:val="24"/>
                <w:szCs w:val="20"/>
                <w:lang w:val="ru-RU"/>
              </w:rPr>
              <w:t>1 504,18</w:t>
            </w:r>
          </w:p>
        </w:tc>
        <w:tc>
          <w:tcPr>
            <w:tcW w:w="1907" w:type="dxa"/>
            <w:vAlign w:val="center"/>
            <w:hideMark/>
          </w:tcPr>
          <w:p w14:paraId="78633533" w14:textId="77777777" w:rsidR="0050368C" w:rsidRPr="0050368C" w:rsidRDefault="0050368C" w:rsidP="00985072">
            <w:pPr>
              <w:spacing w:line="276" w:lineRule="auto"/>
              <w:jc w:val="center"/>
              <w:rPr>
                <w:sz w:val="24"/>
                <w:szCs w:val="20"/>
                <w:lang w:val="ru-RU"/>
              </w:rPr>
            </w:pPr>
            <w:r w:rsidRPr="0050368C">
              <w:rPr>
                <w:sz w:val="24"/>
                <w:szCs w:val="20"/>
                <w:lang w:val="ru-RU"/>
              </w:rPr>
              <w:t>620,55</w:t>
            </w:r>
          </w:p>
        </w:tc>
        <w:tc>
          <w:tcPr>
            <w:tcW w:w="1423" w:type="dxa"/>
            <w:vAlign w:val="center"/>
            <w:hideMark/>
          </w:tcPr>
          <w:p w14:paraId="10FCDEEA" w14:textId="77777777" w:rsidR="0050368C" w:rsidRPr="0050368C" w:rsidRDefault="0050368C" w:rsidP="00985072">
            <w:pPr>
              <w:spacing w:line="276" w:lineRule="auto"/>
              <w:jc w:val="center"/>
              <w:rPr>
                <w:sz w:val="24"/>
                <w:szCs w:val="20"/>
                <w:lang w:val="ru-RU"/>
              </w:rPr>
            </w:pPr>
            <w:r w:rsidRPr="0050368C">
              <w:rPr>
                <w:sz w:val="24"/>
                <w:szCs w:val="20"/>
                <w:lang w:val="ru-RU"/>
              </w:rPr>
              <w:t>2 493,02</w:t>
            </w:r>
          </w:p>
        </w:tc>
      </w:tr>
      <w:tr w:rsidR="0050368C" w:rsidRPr="0050368C" w14:paraId="5AA393B0" w14:textId="77777777" w:rsidTr="0050368C">
        <w:tc>
          <w:tcPr>
            <w:tcW w:w="2373" w:type="dxa"/>
            <w:vAlign w:val="center"/>
            <w:hideMark/>
          </w:tcPr>
          <w:p w14:paraId="3C7D57A6" w14:textId="77777777" w:rsidR="0050368C" w:rsidRPr="0050368C" w:rsidRDefault="0050368C" w:rsidP="00985072">
            <w:pPr>
              <w:spacing w:line="276" w:lineRule="auto"/>
              <w:jc w:val="center"/>
              <w:rPr>
                <w:sz w:val="24"/>
                <w:szCs w:val="20"/>
                <w:lang w:val="ru-RU"/>
              </w:rPr>
            </w:pPr>
            <w:r w:rsidRPr="0050368C">
              <w:rPr>
                <w:sz w:val="24"/>
                <w:szCs w:val="20"/>
                <w:lang w:val="ru-RU"/>
              </w:rPr>
              <w:t>Grameen Bank</w:t>
            </w:r>
          </w:p>
        </w:tc>
        <w:tc>
          <w:tcPr>
            <w:tcW w:w="1210" w:type="dxa"/>
            <w:vAlign w:val="center"/>
            <w:hideMark/>
          </w:tcPr>
          <w:p w14:paraId="2F984DCD" w14:textId="77777777" w:rsidR="0050368C" w:rsidRPr="0050368C" w:rsidRDefault="0050368C" w:rsidP="00985072">
            <w:pPr>
              <w:spacing w:line="276" w:lineRule="auto"/>
              <w:jc w:val="center"/>
              <w:rPr>
                <w:sz w:val="24"/>
                <w:szCs w:val="20"/>
                <w:lang w:val="ru-RU"/>
              </w:rPr>
            </w:pPr>
            <w:r w:rsidRPr="0050368C">
              <w:rPr>
                <w:sz w:val="24"/>
                <w:szCs w:val="20"/>
                <w:lang w:val="ru-RU"/>
              </w:rPr>
              <w:t>10,36</w:t>
            </w:r>
          </w:p>
        </w:tc>
        <w:tc>
          <w:tcPr>
            <w:tcW w:w="1452" w:type="dxa"/>
            <w:vAlign w:val="center"/>
            <w:hideMark/>
          </w:tcPr>
          <w:p w14:paraId="00ED8ACB" w14:textId="77777777" w:rsidR="0050368C" w:rsidRPr="0050368C" w:rsidRDefault="0050368C" w:rsidP="00985072">
            <w:pPr>
              <w:spacing w:line="276" w:lineRule="auto"/>
              <w:jc w:val="center"/>
              <w:rPr>
                <w:sz w:val="24"/>
                <w:szCs w:val="20"/>
                <w:lang w:val="ru-RU"/>
              </w:rPr>
            </w:pPr>
            <w:r w:rsidRPr="0050368C">
              <w:rPr>
                <w:sz w:val="24"/>
                <w:szCs w:val="20"/>
                <w:lang w:val="ru-RU"/>
              </w:rPr>
              <w:t>7,16</w:t>
            </w:r>
          </w:p>
        </w:tc>
        <w:tc>
          <w:tcPr>
            <w:tcW w:w="1314" w:type="dxa"/>
            <w:vAlign w:val="center"/>
            <w:hideMark/>
          </w:tcPr>
          <w:p w14:paraId="33F22EA4" w14:textId="77777777" w:rsidR="0050368C" w:rsidRPr="0050368C" w:rsidRDefault="0050368C" w:rsidP="00985072">
            <w:pPr>
              <w:spacing w:line="276" w:lineRule="auto"/>
              <w:jc w:val="center"/>
              <w:rPr>
                <w:sz w:val="24"/>
                <w:szCs w:val="20"/>
                <w:lang w:val="ru-RU"/>
              </w:rPr>
            </w:pPr>
            <w:r w:rsidRPr="0050368C">
              <w:rPr>
                <w:sz w:val="24"/>
                <w:szCs w:val="20"/>
                <w:lang w:val="ru-RU"/>
              </w:rPr>
              <w:t>161,5</w:t>
            </w:r>
          </w:p>
        </w:tc>
        <w:tc>
          <w:tcPr>
            <w:tcW w:w="1907" w:type="dxa"/>
            <w:vAlign w:val="center"/>
            <w:hideMark/>
          </w:tcPr>
          <w:p w14:paraId="6CF41973" w14:textId="77777777" w:rsidR="0050368C" w:rsidRPr="0050368C" w:rsidRDefault="0050368C" w:rsidP="00985072">
            <w:pPr>
              <w:spacing w:line="276" w:lineRule="auto"/>
              <w:jc w:val="center"/>
              <w:rPr>
                <w:sz w:val="24"/>
                <w:szCs w:val="20"/>
                <w:lang w:val="ru-RU"/>
              </w:rPr>
            </w:pPr>
            <w:r w:rsidRPr="0050368C">
              <w:rPr>
                <w:sz w:val="24"/>
                <w:szCs w:val="20"/>
                <w:lang w:val="ru-RU"/>
              </w:rPr>
              <w:t>226,82</w:t>
            </w:r>
          </w:p>
        </w:tc>
        <w:tc>
          <w:tcPr>
            <w:tcW w:w="1423" w:type="dxa"/>
            <w:vAlign w:val="center"/>
            <w:hideMark/>
          </w:tcPr>
          <w:p w14:paraId="6B814E3E" w14:textId="77777777" w:rsidR="0050368C" w:rsidRPr="0050368C" w:rsidRDefault="0050368C" w:rsidP="00985072">
            <w:pPr>
              <w:spacing w:line="276" w:lineRule="auto"/>
              <w:jc w:val="center"/>
              <w:rPr>
                <w:sz w:val="24"/>
                <w:szCs w:val="20"/>
                <w:lang w:val="ru-RU"/>
              </w:rPr>
            </w:pPr>
            <w:r w:rsidRPr="0050368C">
              <w:rPr>
                <w:sz w:val="24"/>
                <w:szCs w:val="20"/>
                <w:lang w:val="ru-RU"/>
              </w:rPr>
              <w:t>247,57</w:t>
            </w:r>
          </w:p>
        </w:tc>
      </w:tr>
      <w:tr w:rsidR="0050368C" w:rsidRPr="0050368C" w14:paraId="6562FA32" w14:textId="77777777" w:rsidTr="0050368C">
        <w:tc>
          <w:tcPr>
            <w:tcW w:w="2373" w:type="dxa"/>
            <w:vAlign w:val="center"/>
            <w:hideMark/>
          </w:tcPr>
          <w:p w14:paraId="5065A7D2" w14:textId="3613E06D" w:rsidR="0050368C" w:rsidRPr="0050368C" w:rsidRDefault="0050368C" w:rsidP="00985072">
            <w:pPr>
              <w:spacing w:line="276" w:lineRule="auto"/>
              <w:jc w:val="center"/>
              <w:rPr>
                <w:sz w:val="24"/>
                <w:szCs w:val="20"/>
              </w:rPr>
            </w:pPr>
            <w:r w:rsidRPr="0050368C">
              <w:rPr>
                <w:sz w:val="24"/>
                <w:szCs w:val="20"/>
              </w:rPr>
              <w:t>Turli davlat idoralari  / maxsus dasturlar</w:t>
            </w:r>
          </w:p>
        </w:tc>
        <w:tc>
          <w:tcPr>
            <w:tcW w:w="1210" w:type="dxa"/>
            <w:vAlign w:val="center"/>
            <w:hideMark/>
          </w:tcPr>
          <w:p w14:paraId="66E3F7CE" w14:textId="77777777" w:rsidR="0050368C" w:rsidRPr="0050368C" w:rsidRDefault="0050368C" w:rsidP="00985072">
            <w:pPr>
              <w:spacing w:line="276" w:lineRule="auto"/>
              <w:jc w:val="center"/>
              <w:rPr>
                <w:sz w:val="24"/>
                <w:szCs w:val="20"/>
                <w:lang w:val="ru-RU"/>
              </w:rPr>
            </w:pPr>
            <w:r w:rsidRPr="0050368C">
              <w:rPr>
                <w:sz w:val="24"/>
                <w:szCs w:val="20"/>
                <w:lang w:val="ru-RU"/>
              </w:rPr>
              <w:t>13,3</w:t>
            </w:r>
          </w:p>
        </w:tc>
        <w:tc>
          <w:tcPr>
            <w:tcW w:w="1452" w:type="dxa"/>
            <w:vAlign w:val="center"/>
            <w:hideMark/>
          </w:tcPr>
          <w:p w14:paraId="52A695D7" w14:textId="77777777" w:rsidR="0050368C" w:rsidRPr="0050368C" w:rsidRDefault="0050368C" w:rsidP="00985072">
            <w:pPr>
              <w:spacing w:line="276" w:lineRule="auto"/>
              <w:jc w:val="center"/>
              <w:rPr>
                <w:sz w:val="24"/>
                <w:szCs w:val="20"/>
                <w:lang w:val="ru-RU"/>
              </w:rPr>
            </w:pPr>
            <w:r w:rsidRPr="0050368C">
              <w:rPr>
                <w:sz w:val="24"/>
                <w:szCs w:val="20"/>
                <w:lang w:val="ru-RU"/>
              </w:rPr>
              <w:t>6,21</w:t>
            </w:r>
          </w:p>
        </w:tc>
        <w:tc>
          <w:tcPr>
            <w:tcW w:w="1314" w:type="dxa"/>
            <w:vAlign w:val="center"/>
            <w:hideMark/>
          </w:tcPr>
          <w:p w14:paraId="5BCF4A8C" w14:textId="77777777" w:rsidR="0050368C" w:rsidRPr="0050368C" w:rsidRDefault="0050368C" w:rsidP="00985072">
            <w:pPr>
              <w:spacing w:line="276" w:lineRule="auto"/>
              <w:jc w:val="center"/>
              <w:rPr>
                <w:sz w:val="24"/>
                <w:szCs w:val="20"/>
                <w:lang w:val="ru-RU"/>
              </w:rPr>
            </w:pPr>
            <w:r w:rsidRPr="0050368C">
              <w:rPr>
                <w:sz w:val="24"/>
                <w:szCs w:val="20"/>
                <w:lang w:val="ru-RU"/>
              </w:rPr>
              <w:t>121,9</w:t>
            </w:r>
          </w:p>
        </w:tc>
        <w:tc>
          <w:tcPr>
            <w:tcW w:w="1907" w:type="dxa"/>
            <w:vAlign w:val="center"/>
            <w:hideMark/>
          </w:tcPr>
          <w:p w14:paraId="3A6BB6D9" w14:textId="77777777" w:rsidR="0050368C" w:rsidRPr="0050368C" w:rsidRDefault="0050368C" w:rsidP="00985072">
            <w:pPr>
              <w:spacing w:line="276" w:lineRule="auto"/>
              <w:jc w:val="center"/>
              <w:rPr>
                <w:sz w:val="24"/>
                <w:szCs w:val="20"/>
                <w:lang w:val="ru-RU"/>
              </w:rPr>
            </w:pPr>
            <w:r w:rsidRPr="0050368C">
              <w:rPr>
                <w:sz w:val="24"/>
                <w:szCs w:val="20"/>
                <w:lang w:val="ru-RU"/>
              </w:rPr>
              <w:t>39,21</w:t>
            </w:r>
          </w:p>
        </w:tc>
        <w:tc>
          <w:tcPr>
            <w:tcW w:w="1423" w:type="dxa"/>
            <w:vAlign w:val="center"/>
            <w:hideMark/>
          </w:tcPr>
          <w:p w14:paraId="51528271" w14:textId="77777777" w:rsidR="0050368C" w:rsidRPr="0050368C" w:rsidRDefault="0050368C" w:rsidP="00985072">
            <w:pPr>
              <w:spacing w:line="276" w:lineRule="auto"/>
              <w:jc w:val="center"/>
              <w:rPr>
                <w:sz w:val="24"/>
                <w:szCs w:val="20"/>
                <w:lang w:val="ru-RU"/>
              </w:rPr>
            </w:pPr>
            <w:r w:rsidRPr="0050368C">
              <w:rPr>
                <w:sz w:val="24"/>
                <w:szCs w:val="20"/>
                <w:lang w:val="ru-RU"/>
              </w:rPr>
              <w:t>84,75</w:t>
            </w:r>
          </w:p>
        </w:tc>
      </w:tr>
      <w:tr w:rsidR="0050368C" w:rsidRPr="0050368C" w14:paraId="2BD96B1B" w14:textId="77777777" w:rsidTr="0050368C">
        <w:tc>
          <w:tcPr>
            <w:tcW w:w="2373" w:type="dxa"/>
            <w:vAlign w:val="center"/>
            <w:hideMark/>
          </w:tcPr>
          <w:p w14:paraId="21254581" w14:textId="77777777" w:rsidR="0050368C" w:rsidRPr="0050368C" w:rsidRDefault="0050368C" w:rsidP="00985072">
            <w:pPr>
              <w:spacing w:line="276" w:lineRule="auto"/>
              <w:jc w:val="center"/>
              <w:rPr>
                <w:sz w:val="24"/>
                <w:szCs w:val="20"/>
                <w:lang w:val="ru-RU"/>
              </w:rPr>
            </w:pPr>
            <w:r w:rsidRPr="0050368C">
              <w:rPr>
                <w:sz w:val="24"/>
                <w:szCs w:val="20"/>
                <w:lang w:val="ru-RU"/>
              </w:rPr>
              <w:t>Davlat va nodavlat banklar</w:t>
            </w:r>
          </w:p>
        </w:tc>
        <w:tc>
          <w:tcPr>
            <w:tcW w:w="1210" w:type="dxa"/>
            <w:vAlign w:val="center"/>
            <w:hideMark/>
          </w:tcPr>
          <w:p w14:paraId="2DE82A93" w14:textId="77777777" w:rsidR="0050368C" w:rsidRPr="0050368C" w:rsidRDefault="0050368C" w:rsidP="00985072">
            <w:pPr>
              <w:spacing w:line="276" w:lineRule="auto"/>
              <w:jc w:val="center"/>
              <w:rPr>
                <w:sz w:val="24"/>
                <w:szCs w:val="20"/>
                <w:lang w:val="ru-RU"/>
              </w:rPr>
            </w:pPr>
            <w:r w:rsidRPr="0050368C">
              <w:rPr>
                <w:sz w:val="24"/>
                <w:szCs w:val="20"/>
                <w:lang w:val="ru-RU"/>
              </w:rPr>
              <w:t>2,30</w:t>
            </w:r>
          </w:p>
        </w:tc>
        <w:tc>
          <w:tcPr>
            <w:tcW w:w="1452" w:type="dxa"/>
            <w:vAlign w:val="center"/>
            <w:hideMark/>
          </w:tcPr>
          <w:p w14:paraId="3EB61288" w14:textId="77777777" w:rsidR="0050368C" w:rsidRPr="0050368C" w:rsidRDefault="0050368C" w:rsidP="00985072">
            <w:pPr>
              <w:spacing w:line="276" w:lineRule="auto"/>
              <w:jc w:val="center"/>
              <w:rPr>
                <w:sz w:val="24"/>
                <w:szCs w:val="20"/>
                <w:lang w:val="ru-RU"/>
              </w:rPr>
            </w:pPr>
            <w:r w:rsidRPr="0050368C">
              <w:rPr>
                <w:sz w:val="24"/>
                <w:szCs w:val="20"/>
                <w:lang w:val="ru-RU"/>
              </w:rPr>
              <w:t>0,40</w:t>
            </w:r>
          </w:p>
        </w:tc>
        <w:tc>
          <w:tcPr>
            <w:tcW w:w="1314" w:type="dxa"/>
            <w:vAlign w:val="center"/>
            <w:hideMark/>
          </w:tcPr>
          <w:p w14:paraId="69F1D008" w14:textId="77777777" w:rsidR="0050368C" w:rsidRPr="0050368C" w:rsidRDefault="0050368C" w:rsidP="00985072">
            <w:pPr>
              <w:spacing w:line="276" w:lineRule="auto"/>
              <w:jc w:val="center"/>
              <w:rPr>
                <w:sz w:val="24"/>
                <w:szCs w:val="20"/>
                <w:lang w:val="ru-RU"/>
              </w:rPr>
            </w:pPr>
            <w:r w:rsidRPr="0050368C">
              <w:rPr>
                <w:sz w:val="24"/>
                <w:szCs w:val="20"/>
                <w:lang w:val="ru-RU"/>
              </w:rPr>
              <w:t>73,75</w:t>
            </w:r>
          </w:p>
        </w:tc>
        <w:tc>
          <w:tcPr>
            <w:tcW w:w="1907" w:type="dxa"/>
            <w:vAlign w:val="center"/>
            <w:hideMark/>
          </w:tcPr>
          <w:p w14:paraId="7CC6C0EF" w14:textId="77777777" w:rsidR="0050368C" w:rsidRPr="0050368C" w:rsidRDefault="0050368C" w:rsidP="00985072">
            <w:pPr>
              <w:spacing w:line="276" w:lineRule="auto"/>
              <w:jc w:val="center"/>
              <w:rPr>
                <w:sz w:val="24"/>
                <w:szCs w:val="20"/>
                <w:lang w:val="ru-RU"/>
              </w:rPr>
            </w:pPr>
            <w:r w:rsidRPr="0050368C">
              <w:rPr>
                <w:sz w:val="24"/>
                <w:szCs w:val="20"/>
                <w:lang w:val="ru-RU"/>
              </w:rPr>
              <w:t>15,18</w:t>
            </w:r>
          </w:p>
        </w:tc>
        <w:tc>
          <w:tcPr>
            <w:tcW w:w="1423" w:type="dxa"/>
            <w:vAlign w:val="center"/>
            <w:hideMark/>
          </w:tcPr>
          <w:p w14:paraId="6FE47E97" w14:textId="77777777" w:rsidR="0050368C" w:rsidRPr="0050368C" w:rsidRDefault="0050368C" w:rsidP="00985072">
            <w:pPr>
              <w:spacing w:line="276" w:lineRule="auto"/>
              <w:jc w:val="center"/>
              <w:rPr>
                <w:sz w:val="24"/>
                <w:szCs w:val="20"/>
                <w:lang w:val="ru-RU"/>
              </w:rPr>
            </w:pPr>
            <w:r w:rsidRPr="0050368C">
              <w:rPr>
                <w:sz w:val="24"/>
                <w:szCs w:val="20"/>
                <w:lang w:val="ru-RU"/>
              </w:rPr>
              <w:t>36,40</w:t>
            </w:r>
          </w:p>
        </w:tc>
      </w:tr>
      <w:tr w:rsidR="0050368C" w:rsidRPr="0050368C" w14:paraId="48767CA3" w14:textId="77777777" w:rsidTr="0050368C">
        <w:tc>
          <w:tcPr>
            <w:tcW w:w="2373" w:type="dxa"/>
            <w:vAlign w:val="center"/>
            <w:hideMark/>
          </w:tcPr>
          <w:p w14:paraId="4EEEB536" w14:textId="77777777" w:rsidR="0050368C" w:rsidRPr="0050368C" w:rsidRDefault="0050368C" w:rsidP="00985072">
            <w:pPr>
              <w:spacing w:line="276" w:lineRule="auto"/>
              <w:jc w:val="center"/>
              <w:rPr>
                <w:sz w:val="24"/>
                <w:szCs w:val="20"/>
                <w:lang w:val="ru-RU"/>
              </w:rPr>
            </w:pPr>
            <w:r w:rsidRPr="0050368C">
              <w:rPr>
                <w:sz w:val="24"/>
                <w:szCs w:val="20"/>
                <w:lang w:val="ru-RU"/>
              </w:rPr>
              <w:t>Jami</w:t>
            </w:r>
          </w:p>
        </w:tc>
        <w:tc>
          <w:tcPr>
            <w:tcW w:w="1210" w:type="dxa"/>
            <w:vAlign w:val="center"/>
            <w:hideMark/>
          </w:tcPr>
          <w:p w14:paraId="36AAC09E" w14:textId="77777777" w:rsidR="0050368C" w:rsidRPr="0050368C" w:rsidRDefault="0050368C" w:rsidP="00985072">
            <w:pPr>
              <w:spacing w:line="276" w:lineRule="auto"/>
              <w:jc w:val="center"/>
              <w:rPr>
                <w:sz w:val="24"/>
                <w:szCs w:val="20"/>
                <w:lang w:val="ru-RU"/>
              </w:rPr>
            </w:pPr>
            <w:r w:rsidRPr="0050368C">
              <w:rPr>
                <w:sz w:val="24"/>
                <w:szCs w:val="20"/>
                <w:lang w:val="ru-RU"/>
              </w:rPr>
              <w:t>66,82</w:t>
            </w:r>
          </w:p>
        </w:tc>
        <w:tc>
          <w:tcPr>
            <w:tcW w:w="1452" w:type="dxa"/>
            <w:vAlign w:val="center"/>
            <w:hideMark/>
          </w:tcPr>
          <w:p w14:paraId="4FAC4BBC" w14:textId="77777777" w:rsidR="0050368C" w:rsidRPr="0050368C" w:rsidRDefault="0050368C" w:rsidP="00985072">
            <w:pPr>
              <w:spacing w:line="276" w:lineRule="auto"/>
              <w:jc w:val="center"/>
              <w:rPr>
                <w:sz w:val="24"/>
                <w:szCs w:val="20"/>
                <w:lang w:val="ru-RU"/>
              </w:rPr>
            </w:pPr>
            <w:r w:rsidRPr="0050368C">
              <w:rPr>
                <w:sz w:val="24"/>
                <w:szCs w:val="20"/>
                <w:lang w:val="ru-RU"/>
              </w:rPr>
              <w:t>45,30</w:t>
            </w:r>
          </w:p>
        </w:tc>
        <w:tc>
          <w:tcPr>
            <w:tcW w:w="1314" w:type="dxa"/>
            <w:vAlign w:val="center"/>
            <w:hideMark/>
          </w:tcPr>
          <w:p w14:paraId="1FE23913" w14:textId="77777777" w:rsidR="0050368C" w:rsidRPr="0050368C" w:rsidRDefault="0050368C" w:rsidP="00985072">
            <w:pPr>
              <w:spacing w:line="276" w:lineRule="auto"/>
              <w:jc w:val="center"/>
              <w:rPr>
                <w:sz w:val="24"/>
                <w:szCs w:val="20"/>
                <w:lang w:val="ru-RU"/>
              </w:rPr>
            </w:pPr>
            <w:r w:rsidRPr="0050368C">
              <w:rPr>
                <w:sz w:val="24"/>
                <w:szCs w:val="20"/>
                <w:lang w:val="ru-RU"/>
              </w:rPr>
              <w:t>1 861,33</w:t>
            </w:r>
          </w:p>
        </w:tc>
        <w:tc>
          <w:tcPr>
            <w:tcW w:w="1907" w:type="dxa"/>
            <w:vAlign w:val="center"/>
            <w:hideMark/>
          </w:tcPr>
          <w:p w14:paraId="44B45635" w14:textId="77777777" w:rsidR="0050368C" w:rsidRPr="0050368C" w:rsidRDefault="0050368C" w:rsidP="00985072">
            <w:pPr>
              <w:spacing w:line="276" w:lineRule="auto"/>
              <w:jc w:val="center"/>
              <w:rPr>
                <w:sz w:val="24"/>
                <w:szCs w:val="20"/>
                <w:lang w:val="ru-RU"/>
              </w:rPr>
            </w:pPr>
            <w:r w:rsidRPr="0050368C">
              <w:rPr>
                <w:sz w:val="24"/>
                <w:szCs w:val="20"/>
                <w:lang w:val="ru-RU"/>
              </w:rPr>
              <w:t>901,76</w:t>
            </w:r>
          </w:p>
        </w:tc>
        <w:tc>
          <w:tcPr>
            <w:tcW w:w="1423" w:type="dxa"/>
            <w:vAlign w:val="center"/>
            <w:hideMark/>
          </w:tcPr>
          <w:p w14:paraId="555C13F5" w14:textId="77777777" w:rsidR="0050368C" w:rsidRPr="0050368C" w:rsidRDefault="0050368C" w:rsidP="00985072">
            <w:pPr>
              <w:spacing w:line="276" w:lineRule="auto"/>
              <w:jc w:val="center"/>
              <w:rPr>
                <w:sz w:val="24"/>
                <w:szCs w:val="20"/>
                <w:lang w:val="ru-RU"/>
              </w:rPr>
            </w:pPr>
            <w:r w:rsidRPr="0050368C">
              <w:rPr>
                <w:sz w:val="24"/>
                <w:szCs w:val="20"/>
                <w:lang w:val="ru-RU"/>
              </w:rPr>
              <w:t>2 861,74</w:t>
            </w:r>
          </w:p>
        </w:tc>
      </w:tr>
    </w:tbl>
    <w:p w14:paraId="48C8C6E6" w14:textId="77777777" w:rsidR="00985072" w:rsidRDefault="00985072" w:rsidP="00985072">
      <w:pPr>
        <w:spacing w:after="0" w:line="276" w:lineRule="auto"/>
        <w:ind w:firstLine="709"/>
        <w:jc w:val="both"/>
      </w:pPr>
    </w:p>
    <w:p w14:paraId="1FC305BC" w14:textId="229EFFD1" w:rsidR="000813E8" w:rsidRDefault="000813E8" w:rsidP="00985072">
      <w:pPr>
        <w:spacing w:after="0" w:line="276" w:lineRule="auto"/>
        <w:ind w:firstLine="709"/>
        <w:jc w:val="both"/>
      </w:pPr>
      <w:r w:rsidRPr="00AD5A51">
        <w:t>Sektorning</w:t>
      </w:r>
      <w:r w:rsidRPr="004266E1">
        <w:t xml:space="preserve"> </w:t>
      </w:r>
      <w:r w:rsidRPr="00AD5A51">
        <w:t>qamrovi</w:t>
      </w:r>
      <w:r w:rsidRPr="004266E1">
        <w:t xml:space="preserve"> </w:t>
      </w:r>
      <w:r w:rsidRPr="001B39EA">
        <w:t>ham</w:t>
      </w:r>
      <w:r w:rsidRPr="004266E1">
        <w:t xml:space="preserve"> </w:t>
      </w:r>
      <w:r w:rsidRPr="00AD5A51">
        <w:t>yuqori</w:t>
      </w:r>
      <w:r w:rsidRPr="004266E1">
        <w:t xml:space="preserve">: 66,82 </w:t>
      </w:r>
      <w:r w:rsidRPr="00AD5A51">
        <w:t>mln</w:t>
      </w:r>
      <w:r w:rsidRPr="004266E1">
        <w:t xml:space="preserve"> </w:t>
      </w:r>
      <w:r w:rsidRPr="00AD5A51">
        <w:t>mijoz</w:t>
      </w:r>
      <w:r w:rsidRPr="004266E1">
        <w:t xml:space="preserve"> </w:t>
      </w:r>
      <w:r w:rsidRPr="00AD5A51">
        <w:t>va</w:t>
      </w:r>
      <w:r w:rsidRPr="004266E1">
        <w:t xml:space="preserve"> 45,30 </w:t>
      </w:r>
      <w:r w:rsidRPr="00AD5A51">
        <w:t>mln</w:t>
      </w:r>
      <w:r w:rsidRPr="004266E1">
        <w:t xml:space="preserve"> </w:t>
      </w:r>
      <w:r w:rsidRPr="00AD5A51">
        <w:t>faol</w:t>
      </w:r>
      <w:r w:rsidRPr="004266E1">
        <w:t xml:space="preserve"> </w:t>
      </w:r>
      <w:r w:rsidRPr="00AD5A51">
        <w:t>qarz</w:t>
      </w:r>
      <w:r w:rsidRPr="004266E1">
        <w:t xml:space="preserve"> </w:t>
      </w:r>
      <w:r w:rsidRPr="00AD5A51">
        <w:t>oluvchi</w:t>
      </w:r>
      <w:r w:rsidRPr="004266E1">
        <w:t xml:space="preserve"> </w:t>
      </w:r>
      <w:r w:rsidRPr="00AD5A51">
        <w:t>moliyaviy</w:t>
      </w:r>
      <w:r w:rsidRPr="004266E1">
        <w:t xml:space="preserve"> </w:t>
      </w:r>
      <w:r w:rsidRPr="00AD5A51">
        <w:t>xizmatlardan</w:t>
      </w:r>
      <w:r w:rsidRPr="004266E1">
        <w:t xml:space="preserve"> </w:t>
      </w:r>
      <w:r w:rsidRPr="00AD5A51">
        <w:t>foydalandi</w:t>
      </w:r>
      <w:r w:rsidRPr="004266E1">
        <w:t xml:space="preserve">, </w:t>
      </w:r>
      <w:r w:rsidRPr="00AD5A51">
        <w:t>bu</w:t>
      </w:r>
      <w:r w:rsidRPr="004266E1">
        <w:t xml:space="preserve"> </w:t>
      </w:r>
      <w:r w:rsidRPr="00AD5A51">
        <w:t>esa</w:t>
      </w:r>
      <w:r w:rsidRPr="004266E1">
        <w:t xml:space="preserve"> </w:t>
      </w:r>
      <w:r w:rsidRPr="00AD5A51">
        <w:t>moliyaviy</w:t>
      </w:r>
      <w:r w:rsidRPr="004266E1">
        <w:t xml:space="preserve"> </w:t>
      </w:r>
      <w:r w:rsidRPr="00AD5A51">
        <w:t>inklyuziyani</w:t>
      </w:r>
      <w:r w:rsidRPr="004266E1">
        <w:t xml:space="preserve"> </w:t>
      </w:r>
      <w:r w:rsidRPr="00AD5A51">
        <w:t>kengaytirdi</w:t>
      </w:r>
      <w:r w:rsidRPr="004266E1">
        <w:t xml:space="preserve">. </w:t>
      </w:r>
      <w:r w:rsidRPr="00AD5A51">
        <w:t>MRA</w:t>
      </w:r>
      <w:r w:rsidRPr="004266E1">
        <w:t xml:space="preserve"> </w:t>
      </w:r>
      <w:r w:rsidRPr="00AD5A51">
        <w:t>litsenziyalangan</w:t>
      </w:r>
      <w:r w:rsidRPr="004266E1">
        <w:t xml:space="preserve"> </w:t>
      </w:r>
      <w:r w:rsidRPr="00AD5A51">
        <w:t>M</w:t>
      </w:r>
      <w:r w:rsidRPr="001B39EA">
        <w:t>MT</w:t>
      </w:r>
      <w:r w:rsidRPr="00AD5A51">
        <w:t>lar</w:t>
      </w:r>
      <w:r w:rsidRPr="004266E1">
        <w:t xml:space="preserve"> </w:t>
      </w:r>
      <w:r>
        <w:t>aholiga</w:t>
      </w:r>
      <w:r w:rsidRPr="004266E1">
        <w:t xml:space="preserve"> </w:t>
      </w:r>
      <w:r>
        <w:t>ajartilgan</w:t>
      </w:r>
      <w:r w:rsidRPr="004266E1">
        <w:t xml:space="preserve"> </w:t>
      </w:r>
      <w:r>
        <w:t>kreditlar</w:t>
      </w:r>
      <w:r w:rsidRPr="004266E1">
        <w:t xml:space="preserve"> </w:t>
      </w:r>
      <w:r>
        <w:t>hajmi</w:t>
      </w:r>
      <w:r w:rsidRPr="004266E1">
        <w:t xml:space="preserve"> </w:t>
      </w:r>
      <w:r>
        <w:t>bo</w:t>
      </w:r>
      <w:r w:rsidRPr="004266E1">
        <w:t>‘</w:t>
      </w:r>
      <w:r>
        <w:t>yicha</w:t>
      </w:r>
      <w:r w:rsidRPr="004266E1">
        <w:t xml:space="preserve"> 87% </w:t>
      </w:r>
      <w:r>
        <w:t>bilan</w:t>
      </w:r>
      <w:r w:rsidRPr="004266E1">
        <w:t xml:space="preserve"> </w:t>
      </w:r>
      <w:r>
        <w:t>birinchi</w:t>
      </w:r>
      <w:r w:rsidRPr="004266E1">
        <w:t xml:space="preserve"> </w:t>
      </w:r>
      <w:r>
        <w:t>o</w:t>
      </w:r>
      <w:r w:rsidRPr="004266E1">
        <w:t>‘</w:t>
      </w:r>
      <w:r>
        <w:t>rinni</w:t>
      </w:r>
      <w:r w:rsidRPr="004266E1">
        <w:t xml:space="preserve"> </w:t>
      </w:r>
      <w:r>
        <w:t>egallamoqda</w:t>
      </w:r>
      <w:r w:rsidRPr="004266E1">
        <w:t xml:space="preserve">, </w:t>
      </w:r>
      <w:r>
        <w:t>undan</w:t>
      </w:r>
      <w:r w:rsidRPr="004266E1">
        <w:t xml:space="preserve"> </w:t>
      </w:r>
      <w:r>
        <w:t>keyingi</w:t>
      </w:r>
      <w:r w:rsidRPr="004266E1">
        <w:t xml:space="preserve"> </w:t>
      </w:r>
      <w:r>
        <w:t>o</w:t>
      </w:r>
      <w:r w:rsidRPr="004266E1">
        <w:t>‘</w:t>
      </w:r>
      <w:r>
        <w:t>rinda</w:t>
      </w:r>
      <w:r w:rsidRPr="004266E1">
        <w:t xml:space="preserve"> </w:t>
      </w:r>
      <w:r>
        <w:t>esa</w:t>
      </w:r>
      <w:r w:rsidRPr="004266E1">
        <w:t xml:space="preserve"> </w:t>
      </w:r>
      <w:r>
        <w:t>Grameen</w:t>
      </w:r>
      <w:r w:rsidRPr="004266E1">
        <w:t xml:space="preserve"> </w:t>
      </w:r>
      <w:r>
        <w:t>Bank</w:t>
      </w:r>
      <w:r w:rsidRPr="004266E1">
        <w:t xml:space="preserve"> 9% </w:t>
      </w:r>
      <w:r>
        <w:t>bilan</w:t>
      </w:r>
      <w:r w:rsidRPr="004266E1">
        <w:t xml:space="preserve"> </w:t>
      </w:r>
      <w:r>
        <w:t>ikkinchi</w:t>
      </w:r>
      <w:r w:rsidRPr="004266E1">
        <w:t xml:space="preserve"> </w:t>
      </w:r>
      <w:r>
        <w:t>o</w:t>
      </w:r>
      <w:r w:rsidRPr="004266E1">
        <w:t>‘</w:t>
      </w:r>
      <w:r>
        <w:t>rinda</w:t>
      </w:r>
      <w:r w:rsidRPr="004266E1">
        <w:t xml:space="preserve"> </w:t>
      </w:r>
      <w:r>
        <w:t>turibdi</w:t>
      </w:r>
      <w:r w:rsidRPr="004266E1">
        <w:t xml:space="preserve"> (1-</w:t>
      </w:r>
      <w:r>
        <w:t>rasm</w:t>
      </w:r>
      <w:r w:rsidRPr="004266E1">
        <w:t xml:space="preserve">). </w:t>
      </w:r>
      <w:r w:rsidRPr="00AD5A51">
        <w:t>MRA</w:t>
      </w:r>
      <w:r w:rsidRPr="004266E1">
        <w:t xml:space="preserve"> </w:t>
      </w:r>
      <w:r w:rsidRPr="00AD5A51">
        <w:t>litsenziyalangan</w:t>
      </w:r>
      <w:r w:rsidRPr="004266E1">
        <w:t xml:space="preserve"> </w:t>
      </w:r>
      <w:r w:rsidRPr="00AD5A51">
        <w:t>M</w:t>
      </w:r>
      <w:r w:rsidRPr="001B39EA">
        <w:t>MT</w:t>
      </w:r>
      <w:r w:rsidRPr="00AD5A51">
        <w:t>lar</w:t>
      </w:r>
      <w:r w:rsidRPr="004266E1">
        <w:t xml:space="preserve"> </w:t>
      </w:r>
      <w:r w:rsidRPr="00AD5A51">
        <w:t>tarkibida</w:t>
      </w:r>
      <w:r w:rsidRPr="004266E1">
        <w:t xml:space="preserve"> </w:t>
      </w:r>
      <w:r w:rsidRPr="00AD5A51">
        <w:t>mijozlar</w:t>
      </w:r>
      <w:r w:rsidRPr="004266E1">
        <w:t xml:space="preserve"> </w:t>
      </w:r>
      <w:r w:rsidRPr="00AD5A51">
        <w:t>soni</w:t>
      </w:r>
      <w:r w:rsidRPr="001B39EA">
        <w:t>d</w:t>
      </w:r>
      <w:r>
        <w:t>a</w:t>
      </w:r>
      <w:r w:rsidRPr="004266E1">
        <w:t xml:space="preserve"> </w:t>
      </w:r>
      <w:r w:rsidRPr="00AD5A51">
        <w:t>taxm</w:t>
      </w:r>
      <w:r w:rsidRPr="001B39EA">
        <w:t>a</w:t>
      </w:r>
      <w:r w:rsidRPr="00AD5A51">
        <w:t>inan</w:t>
      </w:r>
      <w:r w:rsidRPr="004266E1">
        <w:t xml:space="preserve"> </w:t>
      </w:r>
      <w:r w:rsidRPr="00AD5A51">
        <w:t>ayollarning</w:t>
      </w:r>
      <w:r w:rsidRPr="004266E1">
        <w:t xml:space="preserve"> </w:t>
      </w:r>
      <w:r w:rsidRPr="00AD5A51">
        <w:t>ulushi</w:t>
      </w:r>
      <w:r w:rsidRPr="004266E1">
        <w:t xml:space="preserve"> 90% </w:t>
      </w:r>
      <w:r w:rsidRPr="00AD5A51">
        <w:t>bo</w:t>
      </w:r>
      <w:r w:rsidRPr="004266E1">
        <w:t>‘</w:t>
      </w:r>
      <w:r w:rsidRPr="00AD5A51">
        <w:t>lib</w:t>
      </w:r>
      <w:r w:rsidRPr="004266E1">
        <w:t xml:space="preserve">, </w:t>
      </w:r>
      <w:r w:rsidRPr="00AD5A51">
        <w:t>gender</w:t>
      </w:r>
      <w:r w:rsidRPr="004266E1">
        <w:t xml:space="preserve"> </w:t>
      </w:r>
      <w:r w:rsidRPr="00AD5A51">
        <w:t>inklyuziyasi</w:t>
      </w:r>
      <w:r w:rsidRPr="004266E1">
        <w:t xml:space="preserve"> </w:t>
      </w:r>
      <w:r w:rsidRPr="00AD5A51">
        <w:t>uy</w:t>
      </w:r>
      <w:r w:rsidRPr="004266E1">
        <w:t xml:space="preserve"> </w:t>
      </w:r>
      <w:r w:rsidRPr="00AD5A51">
        <w:t>xo</w:t>
      </w:r>
      <w:r w:rsidRPr="004266E1">
        <w:t>‘</w:t>
      </w:r>
      <w:r w:rsidRPr="00AD5A51">
        <w:t>jaliklari</w:t>
      </w:r>
      <w:r w:rsidRPr="004266E1">
        <w:t xml:space="preserve"> </w:t>
      </w:r>
      <w:r w:rsidRPr="00AD5A51">
        <w:t>farovonligiga</w:t>
      </w:r>
      <w:r w:rsidRPr="004266E1">
        <w:t xml:space="preserve"> </w:t>
      </w:r>
      <w:r w:rsidRPr="00AD5A51">
        <w:t>ko</w:t>
      </w:r>
      <w:r w:rsidRPr="004266E1">
        <w:t>‘</w:t>
      </w:r>
      <w:r w:rsidRPr="00AD5A51">
        <w:t>pkarra</w:t>
      </w:r>
      <w:r w:rsidRPr="004266E1">
        <w:t xml:space="preserve"> </w:t>
      </w:r>
      <w:r w:rsidRPr="00AD5A51">
        <w:t>ijobiy</w:t>
      </w:r>
      <w:r w:rsidRPr="004266E1">
        <w:t xml:space="preserve"> </w:t>
      </w:r>
      <w:r w:rsidRPr="00AD5A51">
        <w:t>ta</w:t>
      </w:r>
      <w:r w:rsidRPr="004266E1">
        <w:t>’</w:t>
      </w:r>
      <w:r w:rsidRPr="00AD5A51">
        <w:t>sir</w:t>
      </w:r>
      <w:r w:rsidRPr="004266E1">
        <w:t xml:space="preserve"> </w:t>
      </w:r>
      <w:r w:rsidRPr="00AD5A51">
        <w:t>qiladi</w:t>
      </w:r>
      <w:r w:rsidR="00185793">
        <w:rPr>
          <w:rStyle w:val="af0"/>
        </w:rPr>
        <w:footnoteReference w:id="12"/>
      </w:r>
      <w:r w:rsidRPr="004266E1">
        <w:t xml:space="preserve">. </w:t>
      </w:r>
      <w:r w:rsidRPr="00AD5A51">
        <w:t>MRA</w:t>
      </w:r>
      <w:r w:rsidRPr="004266E1">
        <w:t xml:space="preserve"> </w:t>
      </w:r>
      <w:r w:rsidRPr="00AD5A51">
        <w:t>litsenziyalangan</w:t>
      </w:r>
      <w:r w:rsidRPr="004266E1">
        <w:t xml:space="preserve"> </w:t>
      </w:r>
      <w:r w:rsidRPr="00AD5A51">
        <w:t>MFIlar</w:t>
      </w:r>
      <w:r w:rsidRPr="004266E1">
        <w:t xml:space="preserve"> </w:t>
      </w:r>
      <w:r w:rsidRPr="00AD5A51">
        <w:t>aholining</w:t>
      </w:r>
      <w:r w:rsidRPr="004266E1">
        <w:t xml:space="preserve"> 24,6% </w:t>
      </w:r>
      <w:r>
        <w:t>qismini</w:t>
      </w:r>
      <w:r w:rsidRPr="004266E1">
        <w:t xml:space="preserve"> </w:t>
      </w:r>
      <w:r w:rsidRPr="00AD5A51">
        <w:t>qamrab</w:t>
      </w:r>
      <w:r w:rsidRPr="004266E1">
        <w:t xml:space="preserve"> </w:t>
      </w:r>
      <w:r w:rsidRPr="00AD5A51">
        <w:t>olgani</w:t>
      </w:r>
      <w:r w:rsidRPr="004266E1">
        <w:t xml:space="preserve"> </w:t>
      </w:r>
      <w:r w:rsidRPr="00AD5A51">
        <w:t>moliyaviy</w:t>
      </w:r>
      <w:r w:rsidRPr="004266E1">
        <w:t xml:space="preserve"> </w:t>
      </w:r>
      <w:r w:rsidRPr="00AD5A51">
        <w:t>xizmatlarga</w:t>
      </w:r>
      <w:r w:rsidRPr="004266E1">
        <w:t xml:space="preserve"> </w:t>
      </w:r>
      <w:r w:rsidRPr="00AD5A51">
        <w:t>kirish</w:t>
      </w:r>
      <w:r w:rsidRPr="004266E1">
        <w:t xml:space="preserve"> </w:t>
      </w:r>
      <w:r w:rsidRPr="00AD5A51">
        <w:t>imkoniyatining</w:t>
      </w:r>
      <w:r w:rsidRPr="004266E1">
        <w:t xml:space="preserve"> </w:t>
      </w:r>
      <w:r w:rsidRPr="00AD5A51">
        <w:t>sezilarli</w:t>
      </w:r>
      <w:r w:rsidRPr="004266E1">
        <w:t xml:space="preserve"> </w:t>
      </w:r>
      <w:r w:rsidRPr="00AD5A51">
        <w:t>darajada</w:t>
      </w:r>
      <w:r w:rsidRPr="004266E1">
        <w:t xml:space="preserve"> </w:t>
      </w:r>
      <w:r w:rsidRPr="00AD5A51">
        <w:t>oshganidan</w:t>
      </w:r>
      <w:r w:rsidRPr="004266E1">
        <w:t xml:space="preserve"> </w:t>
      </w:r>
      <w:r w:rsidRPr="00AD5A51">
        <w:t>dalolat</w:t>
      </w:r>
      <w:r w:rsidRPr="004266E1">
        <w:t xml:space="preserve"> </w:t>
      </w:r>
      <w:r w:rsidRPr="00AD5A51">
        <w:t>beradi</w:t>
      </w:r>
      <w:r w:rsidRPr="004266E1">
        <w:t>.</w:t>
      </w:r>
    </w:p>
    <w:p w14:paraId="6D6DD711" w14:textId="77777777" w:rsidR="00985072" w:rsidRDefault="00985072" w:rsidP="00985072">
      <w:pPr>
        <w:spacing w:after="0" w:line="276" w:lineRule="auto"/>
        <w:ind w:firstLine="709"/>
        <w:jc w:val="both"/>
      </w:pPr>
    </w:p>
    <w:p w14:paraId="7E0B1507" w14:textId="70D7B233" w:rsidR="00513F02" w:rsidRDefault="00513F02" w:rsidP="00985072">
      <w:pPr>
        <w:spacing w:after="0" w:line="276" w:lineRule="auto"/>
        <w:jc w:val="both"/>
      </w:pPr>
      <w:r>
        <w:rPr>
          <w:lang w:val="ru-RU" w:eastAsia="ko-KR"/>
        </w:rPr>
        <w:drawing>
          <wp:inline distT="0" distB="0" distL="0" distR="0" wp14:anchorId="1DDC352E" wp14:editId="52011176">
            <wp:extent cx="5981700" cy="1924050"/>
            <wp:effectExtent l="0" t="0" r="0" b="0"/>
            <wp:docPr id="181392106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E5A54A" w14:textId="3526E87E" w:rsidR="00916DFA" w:rsidRPr="000813E8" w:rsidRDefault="00916DFA" w:rsidP="00985072">
      <w:pPr>
        <w:spacing w:after="0" w:line="276" w:lineRule="auto"/>
        <w:jc w:val="center"/>
        <w:rPr>
          <w:b/>
          <w:bCs/>
        </w:rPr>
      </w:pPr>
      <w:r w:rsidRPr="000813E8">
        <w:rPr>
          <w:b/>
          <w:bCs/>
        </w:rPr>
        <w:lastRenderedPageBreak/>
        <w:t>1-rasm.</w:t>
      </w:r>
      <w:r w:rsidR="000813E8" w:rsidRPr="000813E8">
        <w:rPr>
          <w:b/>
          <w:bCs/>
        </w:rPr>
        <w:t xml:space="preserve"> Bangladeshda mikromoliya sektorida kredit ajratishdagi ulushlarning taqsimoti</w:t>
      </w:r>
      <w:r w:rsidR="00185793">
        <w:rPr>
          <w:rStyle w:val="af0"/>
        </w:rPr>
        <w:footnoteReference w:id="13"/>
      </w:r>
      <w:r w:rsidR="000813E8" w:rsidRPr="000813E8">
        <w:rPr>
          <w:b/>
          <w:bCs/>
        </w:rPr>
        <w:t xml:space="preserve"> (2022</w:t>
      </w:r>
      <w:r w:rsidR="000813E8">
        <w:rPr>
          <w:b/>
          <w:bCs/>
        </w:rPr>
        <w:t>-</w:t>
      </w:r>
      <w:r w:rsidR="000813E8" w:rsidRPr="000813E8">
        <w:rPr>
          <w:b/>
          <w:bCs/>
        </w:rPr>
        <w:t>2023-yillar)</w:t>
      </w:r>
    </w:p>
    <w:p w14:paraId="1F6CB96E" w14:textId="77777777" w:rsidR="00985072" w:rsidRDefault="00985072" w:rsidP="00985072">
      <w:pPr>
        <w:spacing w:after="0" w:line="276" w:lineRule="auto"/>
        <w:ind w:firstLine="709"/>
        <w:jc w:val="both"/>
      </w:pPr>
    </w:p>
    <w:p w14:paraId="2818E2B8" w14:textId="3567A189" w:rsidR="00985072" w:rsidRDefault="001B39EA" w:rsidP="00985072">
      <w:pPr>
        <w:spacing w:after="0" w:line="276" w:lineRule="auto"/>
        <w:ind w:firstLine="709"/>
        <w:jc w:val="both"/>
        <w:rPr>
          <w:b/>
          <w:bCs/>
        </w:rPr>
      </w:pPr>
      <w:r>
        <w:t>Bangladeshda</w:t>
      </w:r>
      <w:r w:rsidRPr="00513F02">
        <w:t xml:space="preserve"> </w:t>
      </w:r>
      <w:r>
        <w:t>mikromoliya</w:t>
      </w:r>
      <w:r w:rsidRPr="00513F02">
        <w:t xml:space="preserve"> </w:t>
      </w:r>
      <w:r>
        <w:t>xizmatlarining</w:t>
      </w:r>
      <w:r w:rsidRPr="00513F02">
        <w:t xml:space="preserve"> </w:t>
      </w:r>
      <w:r>
        <w:t>eng</w:t>
      </w:r>
      <w:r w:rsidRPr="00513F02">
        <w:t xml:space="preserve"> </w:t>
      </w:r>
      <w:r>
        <w:t>katta</w:t>
      </w:r>
      <w:r w:rsidRPr="00513F02">
        <w:t xml:space="preserve"> </w:t>
      </w:r>
      <w:r>
        <w:t>ta</w:t>
      </w:r>
      <w:r w:rsidRPr="00513F02">
        <w:t>’</w:t>
      </w:r>
      <w:r>
        <w:t>minlovchisi</w:t>
      </w:r>
      <w:r w:rsidRPr="00513F02">
        <w:t xml:space="preserve"> </w:t>
      </w:r>
      <w:r>
        <w:t>bo</w:t>
      </w:r>
      <w:r w:rsidRPr="00513F02">
        <w:t>‘</w:t>
      </w:r>
      <w:r>
        <w:t>lgan</w:t>
      </w:r>
      <w:r w:rsidRPr="00513F02">
        <w:t xml:space="preserve"> </w:t>
      </w:r>
      <w:r w:rsidRPr="00CC134C">
        <w:t>MRA</w:t>
      </w:r>
      <w:r w:rsidRPr="00513F02">
        <w:t xml:space="preserve"> </w:t>
      </w:r>
      <w:r>
        <w:t>tomonidan</w:t>
      </w:r>
      <w:r w:rsidRPr="00513F02">
        <w:t xml:space="preserve"> </w:t>
      </w:r>
      <w:r w:rsidRPr="00CC134C">
        <w:t>litsenziyalangan</w:t>
      </w:r>
      <w:r w:rsidRPr="00513F02">
        <w:t xml:space="preserve"> </w:t>
      </w:r>
      <w:r>
        <w:t>mikromoliya</w:t>
      </w:r>
      <w:r w:rsidRPr="00513F02">
        <w:t xml:space="preserve"> </w:t>
      </w:r>
      <w:r>
        <w:t>tashkilotlari</w:t>
      </w:r>
      <w:r w:rsidRPr="00513F02">
        <w:t xml:space="preserve"> </w:t>
      </w:r>
      <w:r>
        <w:t>ekanligini</w:t>
      </w:r>
      <w:r w:rsidRPr="00513F02">
        <w:t xml:space="preserve"> </w:t>
      </w:r>
      <w:r>
        <w:t>ko</w:t>
      </w:r>
      <w:r w:rsidRPr="00513F02">
        <w:t>‘</w:t>
      </w:r>
      <w:r>
        <w:t>rib</w:t>
      </w:r>
      <w:r w:rsidRPr="00513F02">
        <w:t xml:space="preserve"> </w:t>
      </w:r>
      <w:r>
        <w:t>chiqdik</w:t>
      </w:r>
      <w:r w:rsidRPr="00513F02">
        <w:t>, 2023-</w:t>
      </w:r>
      <w:r>
        <w:t>yilda</w:t>
      </w:r>
      <w:r w:rsidRPr="00513F02">
        <w:t xml:space="preserve"> </w:t>
      </w:r>
      <w:r>
        <w:t>ularning</w:t>
      </w:r>
      <w:r w:rsidRPr="00513F02">
        <w:t xml:space="preserve"> </w:t>
      </w:r>
      <w:r>
        <w:t>soni</w:t>
      </w:r>
      <w:r w:rsidRPr="00513F02">
        <w:t xml:space="preserve"> 731 </w:t>
      </w:r>
      <w:r>
        <w:t>tani</w:t>
      </w:r>
      <w:r w:rsidRPr="00513F02">
        <w:t xml:space="preserve"> </w:t>
      </w:r>
      <w:r>
        <w:t>tashkil</w:t>
      </w:r>
      <w:r w:rsidRPr="00513F02">
        <w:t xml:space="preserve"> </w:t>
      </w:r>
      <w:r>
        <w:t>etgan</w:t>
      </w:r>
      <w:r w:rsidRPr="00513F02">
        <w:t xml:space="preserve">. </w:t>
      </w:r>
      <w:r>
        <w:t>Ushbu</w:t>
      </w:r>
      <w:r w:rsidRPr="000813E8">
        <w:t xml:space="preserve"> </w:t>
      </w:r>
      <w:r>
        <w:t>tashkilotlar</w:t>
      </w:r>
      <w:r w:rsidRPr="000813E8">
        <w:t xml:space="preserve"> </w:t>
      </w:r>
      <w:r w:rsidR="00CC134C" w:rsidRPr="000813E8">
        <w:t>2010-2023-</w:t>
      </w:r>
      <w:r w:rsidR="00CC134C" w:rsidRPr="00CC134C">
        <w:t>yillarda</w:t>
      </w:r>
      <w:r w:rsidRPr="000813E8">
        <w:t xml:space="preserve"> </w:t>
      </w:r>
      <w:r w:rsidR="00CC134C" w:rsidRPr="00CC134C">
        <w:t>miqyos</w:t>
      </w:r>
      <w:r w:rsidR="00CC134C" w:rsidRPr="000813E8">
        <w:t xml:space="preserve"> </w:t>
      </w:r>
      <w:r w:rsidR="00CC134C" w:rsidRPr="00CC134C">
        <w:t>va</w:t>
      </w:r>
      <w:r w:rsidR="00CC134C" w:rsidRPr="000813E8">
        <w:t xml:space="preserve"> </w:t>
      </w:r>
      <w:r w:rsidR="00CC134C" w:rsidRPr="00CC134C">
        <w:t>qamrov</w:t>
      </w:r>
      <w:r w:rsidR="00CC134C" w:rsidRPr="000813E8">
        <w:t xml:space="preserve"> </w:t>
      </w:r>
      <w:r w:rsidR="00CC134C" w:rsidRPr="00CC134C">
        <w:t>ko</w:t>
      </w:r>
      <w:r w:rsidR="00CC134C" w:rsidRPr="000813E8">
        <w:t>‘</w:t>
      </w:r>
      <w:r w:rsidR="00CC134C" w:rsidRPr="00CC134C">
        <w:t>rsatkichlari</w:t>
      </w:r>
      <w:r w:rsidR="00CC134C" w:rsidRPr="000813E8">
        <w:t xml:space="preserve"> </w:t>
      </w:r>
      <w:r w:rsidR="00CC134C" w:rsidRPr="00CC134C">
        <w:t>barqaror</w:t>
      </w:r>
      <w:r w:rsidR="00CC134C" w:rsidRPr="000813E8">
        <w:t xml:space="preserve"> </w:t>
      </w:r>
      <w:r w:rsidR="00CC134C" w:rsidRPr="00CC134C">
        <w:t>o</w:t>
      </w:r>
      <w:r w:rsidR="00CC134C" w:rsidRPr="000813E8">
        <w:t>‘</w:t>
      </w:r>
      <w:r w:rsidR="00CC134C" w:rsidRPr="00CC134C">
        <w:t>sdi</w:t>
      </w:r>
      <w:r w:rsidR="00CC134C" w:rsidRPr="000813E8">
        <w:t xml:space="preserve">: </w:t>
      </w:r>
      <w:r w:rsidR="00CC134C" w:rsidRPr="00CC134C">
        <w:t>filiallar</w:t>
      </w:r>
      <w:r w:rsidR="00CC134C" w:rsidRPr="000813E8">
        <w:t xml:space="preserve"> </w:t>
      </w:r>
      <w:r w:rsidR="00CC134C" w:rsidRPr="00CC134C">
        <w:t>soni</w:t>
      </w:r>
      <w:r w:rsidR="00CC134C" w:rsidRPr="000813E8">
        <w:t xml:space="preserve"> 17,2 </w:t>
      </w:r>
      <w:r w:rsidR="00CC134C" w:rsidRPr="00CC134C">
        <w:t>mingdan</w:t>
      </w:r>
      <w:r w:rsidR="00CC134C" w:rsidRPr="000813E8">
        <w:t xml:space="preserve"> 25,3 </w:t>
      </w:r>
      <w:r w:rsidR="00CC134C" w:rsidRPr="00CC134C">
        <w:t>mingga</w:t>
      </w:r>
      <w:r w:rsidR="00CC134C" w:rsidRPr="000813E8">
        <w:t xml:space="preserve">, </w:t>
      </w:r>
      <w:r w:rsidR="00CC134C" w:rsidRPr="00CC134C">
        <w:t>mijozlar</w:t>
      </w:r>
      <w:r w:rsidR="00CC134C" w:rsidRPr="000813E8">
        <w:t xml:space="preserve"> </w:t>
      </w:r>
      <w:r w:rsidR="00CC134C" w:rsidRPr="00CC134C">
        <w:t>soni</w:t>
      </w:r>
      <w:r w:rsidR="00CC134C" w:rsidRPr="000813E8">
        <w:t xml:space="preserve"> </w:t>
      </w:r>
      <w:r w:rsidR="00CC134C" w:rsidRPr="00CC134C">
        <w:t>esa</w:t>
      </w:r>
      <w:r w:rsidR="00CC134C" w:rsidRPr="000813E8">
        <w:t xml:space="preserve"> 25,28 </w:t>
      </w:r>
      <w:r w:rsidR="00CC134C" w:rsidRPr="00CC134C">
        <w:t>milliondan</w:t>
      </w:r>
      <w:r w:rsidR="00CC134C" w:rsidRPr="000813E8">
        <w:t xml:space="preserve"> 40,86 </w:t>
      </w:r>
      <w:r w:rsidR="00CC134C" w:rsidRPr="00CC134C">
        <w:t>millionga</w:t>
      </w:r>
      <w:r w:rsidR="00CC134C" w:rsidRPr="000813E8">
        <w:t xml:space="preserve"> </w:t>
      </w:r>
      <w:r w:rsidR="00CC134C" w:rsidRPr="00CC134C">
        <w:t>yetdi</w:t>
      </w:r>
      <w:r w:rsidR="00185793">
        <w:rPr>
          <w:rStyle w:val="af0"/>
        </w:rPr>
        <w:footnoteReference w:id="14"/>
      </w:r>
      <w:r w:rsidRPr="000813E8">
        <w:t xml:space="preserve"> (</w:t>
      </w:r>
      <w:r w:rsidR="000813E8">
        <w:t>2</w:t>
      </w:r>
      <w:r w:rsidRPr="000813E8">
        <w:t>-</w:t>
      </w:r>
      <w:r>
        <w:t>jadval</w:t>
      </w:r>
      <w:r w:rsidRPr="000813E8">
        <w:t>)</w:t>
      </w:r>
      <w:r w:rsidR="00CC134C" w:rsidRPr="000813E8">
        <w:t xml:space="preserve">. </w:t>
      </w:r>
    </w:p>
    <w:p w14:paraId="0A0D02AF" w14:textId="062DDA35" w:rsidR="001B39EA" w:rsidRPr="001B39EA" w:rsidRDefault="000813E8" w:rsidP="00985072">
      <w:pPr>
        <w:spacing w:after="0" w:line="276" w:lineRule="auto"/>
        <w:ind w:firstLine="709"/>
        <w:jc w:val="right"/>
        <w:rPr>
          <w:b/>
          <w:bCs/>
        </w:rPr>
      </w:pPr>
      <w:r>
        <w:rPr>
          <w:b/>
          <w:bCs/>
        </w:rPr>
        <w:t>2</w:t>
      </w:r>
      <w:r w:rsidR="001B39EA" w:rsidRPr="001B39EA">
        <w:rPr>
          <w:b/>
          <w:bCs/>
        </w:rPr>
        <w:t>-jadval.</w:t>
      </w:r>
    </w:p>
    <w:p w14:paraId="0B049D2D" w14:textId="5855DCC6" w:rsidR="00334A47" w:rsidRPr="00334A47" w:rsidRDefault="00334A47" w:rsidP="00985072">
      <w:pPr>
        <w:spacing w:after="0" w:line="276" w:lineRule="auto"/>
        <w:jc w:val="center"/>
        <w:rPr>
          <w:b/>
          <w:bCs/>
        </w:rPr>
      </w:pPr>
      <w:r w:rsidRPr="00334A47">
        <w:rPr>
          <w:b/>
          <w:bCs/>
        </w:rPr>
        <w:t>2010-2023</w:t>
      </w:r>
      <w:r w:rsidR="0050368C" w:rsidRPr="0050368C">
        <w:rPr>
          <w:b/>
          <w:bCs/>
        </w:rPr>
        <w:t>-</w:t>
      </w:r>
      <w:r w:rsidRPr="00334A47">
        <w:rPr>
          <w:b/>
          <w:bCs/>
        </w:rPr>
        <w:t>yillarda M</w:t>
      </w:r>
      <w:r w:rsidR="009947BD">
        <w:rPr>
          <w:b/>
          <w:bCs/>
        </w:rPr>
        <w:t>RA</w:t>
      </w:r>
      <w:r w:rsidRPr="00334A47">
        <w:rPr>
          <w:b/>
          <w:bCs/>
        </w:rPr>
        <w:t xml:space="preserve">  tomonidan litsenziyalangan mikromoliya institutlari faoliyati dinamikasi</w:t>
      </w:r>
      <w:r w:rsidR="00185793" w:rsidRPr="00185793">
        <w:rPr>
          <w:rStyle w:val="af0"/>
          <w:b/>
          <w:bCs/>
        </w:rPr>
        <w:footnoteReference w:id="15"/>
      </w:r>
    </w:p>
    <w:tbl>
      <w:tblPr>
        <w:tblStyle w:val="ac"/>
        <w:tblW w:w="0" w:type="auto"/>
        <w:tblLook w:val="04A0" w:firstRow="1" w:lastRow="0" w:firstColumn="1" w:lastColumn="0" w:noHBand="0" w:noVBand="1"/>
      </w:tblPr>
      <w:tblGrid>
        <w:gridCol w:w="987"/>
        <w:gridCol w:w="970"/>
        <w:gridCol w:w="1192"/>
        <w:gridCol w:w="1183"/>
        <w:gridCol w:w="1189"/>
        <w:gridCol w:w="1417"/>
        <w:gridCol w:w="1394"/>
        <w:gridCol w:w="1347"/>
      </w:tblGrid>
      <w:tr w:rsidR="00A00237" w:rsidRPr="00A00237" w14:paraId="2B6B3B5D" w14:textId="77777777" w:rsidTr="00A00237">
        <w:tc>
          <w:tcPr>
            <w:tcW w:w="987" w:type="dxa"/>
            <w:shd w:val="clear" w:color="auto" w:fill="BDD6EE" w:themeFill="accent1" w:themeFillTint="66"/>
            <w:vAlign w:val="center"/>
            <w:hideMark/>
          </w:tcPr>
          <w:p w14:paraId="4441C729" w14:textId="77777777" w:rsidR="00A00237" w:rsidRPr="00A00237" w:rsidRDefault="00A00237" w:rsidP="00985072">
            <w:pPr>
              <w:spacing w:line="276" w:lineRule="auto"/>
              <w:jc w:val="center"/>
              <w:rPr>
                <w:b/>
                <w:bCs/>
                <w:sz w:val="22"/>
                <w:szCs w:val="18"/>
                <w:lang w:val="ru-RU"/>
              </w:rPr>
            </w:pPr>
            <w:r w:rsidRPr="00A00237">
              <w:rPr>
                <w:b/>
                <w:bCs/>
                <w:sz w:val="22"/>
                <w:szCs w:val="18"/>
                <w:lang w:val="ru-RU"/>
              </w:rPr>
              <w:t>Yil</w:t>
            </w:r>
          </w:p>
        </w:tc>
        <w:tc>
          <w:tcPr>
            <w:tcW w:w="970" w:type="dxa"/>
            <w:shd w:val="clear" w:color="auto" w:fill="BDD6EE" w:themeFill="accent1" w:themeFillTint="66"/>
            <w:vAlign w:val="center"/>
            <w:hideMark/>
          </w:tcPr>
          <w:p w14:paraId="2A8238A7" w14:textId="77777777" w:rsidR="00A00237" w:rsidRPr="00A00237" w:rsidRDefault="00A00237" w:rsidP="00985072">
            <w:pPr>
              <w:spacing w:line="276" w:lineRule="auto"/>
              <w:jc w:val="center"/>
              <w:rPr>
                <w:b/>
                <w:bCs/>
                <w:sz w:val="22"/>
                <w:szCs w:val="18"/>
                <w:lang w:val="ru-RU"/>
              </w:rPr>
            </w:pPr>
            <w:r w:rsidRPr="00A00237">
              <w:rPr>
                <w:b/>
                <w:bCs/>
                <w:sz w:val="22"/>
                <w:szCs w:val="18"/>
                <w:lang w:val="ru-RU"/>
              </w:rPr>
              <w:t>Filiallar soni</w:t>
            </w:r>
          </w:p>
        </w:tc>
        <w:tc>
          <w:tcPr>
            <w:tcW w:w="1192" w:type="dxa"/>
            <w:shd w:val="clear" w:color="auto" w:fill="BDD6EE" w:themeFill="accent1" w:themeFillTint="66"/>
            <w:vAlign w:val="center"/>
            <w:hideMark/>
          </w:tcPr>
          <w:p w14:paraId="60C42074" w14:textId="77777777" w:rsidR="00A00237" w:rsidRPr="00A00237" w:rsidRDefault="00A00237" w:rsidP="00985072">
            <w:pPr>
              <w:spacing w:line="276" w:lineRule="auto"/>
              <w:jc w:val="center"/>
              <w:rPr>
                <w:b/>
                <w:bCs/>
                <w:sz w:val="22"/>
                <w:szCs w:val="18"/>
                <w:lang w:val="ru-RU"/>
              </w:rPr>
            </w:pPr>
            <w:r w:rsidRPr="00A00237">
              <w:rPr>
                <w:b/>
                <w:bCs/>
                <w:sz w:val="22"/>
                <w:szCs w:val="18"/>
                <w:lang w:val="ru-RU"/>
              </w:rPr>
              <w:t>Xodimlar soni</w:t>
            </w:r>
          </w:p>
        </w:tc>
        <w:tc>
          <w:tcPr>
            <w:tcW w:w="0" w:type="auto"/>
            <w:shd w:val="clear" w:color="auto" w:fill="BDD6EE" w:themeFill="accent1" w:themeFillTint="66"/>
            <w:vAlign w:val="center"/>
            <w:hideMark/>
          </w:tcPr>
          <w:p w14:paraId="5F1DEE69" w14:textId="77777777" w:rsidR="00A00237" w:rsidRPr="00A00237" w:rsidRDefault="00A00237" w:rsidP="00985072">
            <w:pPr>
              <w:spacing w:line="276" w:lineRule="auto"/>
              <w:jc w:val="center"/>
              <w:rPr>
                <w:b/>
                <w:bCs/>
                <w:sz w:val="22"/>
                <w:szCs w:val="18"/>
                <w:lang w:val="ru-RU"/>
              </w:rPr>
            </w:pPr>
            <w:r w:rsidRPr="00A00237">
              <w:rPr>
                <w:b/>
                <w:bCs/>
                <w:sz w:val="22"/>
                <w:szCs w:val="18"/>
                <w:lang w:val="ru-RU"/>
              </w:rPr>
              <w:t>Mijozlar soni (mln)</w:t>
            </w:r>
          </w:p>
        </w:tc>
        <w:tc>
          <w:tcPr>
            <w:tcW w:w="1189" w:type="dxa"/>
            <w:shd w:val="clear" w:color="auto" w:fill="BDD6EE" w:themeFill="accent1" w:themeFillTint="66"/>
            <w:vAlign w:val="center"/>
            <w:hideMark/>
          </w:tcPr>
          <w:p w14:paraId="1A501E0B" w14:textId="77777777" w:rsidR="00A00237" w:rsidRPr="00A00237" w:rsidRDefault="00A00237" w:rsidP="00985072">
            <w:pPr>
              <w:spacing w:line="276" w:lineRule="auto"/>
              <w:jc w:val="center"/>
              <w:rPr>
                <w:b/>
                <w:bCs/>
                <w:sz w:val="22"/>
                <w:szCs w:val="18"/>
                <w:lang w:val="ru-RU"/>
              </w:rPr>
            </w:pPr>
            <w:r w:rsidRPr="00A00237">
              <w:rPr>
                <w:b/>
                <w:bCs/>
                <w:sz w:val="22"/>
                <w:szCs w:val="18"/>
                <w:lang w:val="ru-RU"/>
              </w:rPr>
              <w:t>Qarz oluvchilar soni (mln)</w:t>
            </w:r>
          </w:p>
        </w:tc>
        <w:tc>
          <w:tcPr>
            <w:tcW w:w="1417" w:type="dxa"/>
            <w:shd w:val="clear" w:color="auto" w:fill="BDD6EE" w:themeFill="accent1" w:themeFillTint="66"/>
            <w:vAlign w:val="center"/>
            <w:hideMark/>
          </w:tcPr>
          <w:p w14:paraId="0E9D550E" w14:textId="77777777" w:rsidR="00A00237" w:rsidRPr="00A00237" w:rsidRDefault="00A00237" w:rsidP="00985072">
            <w:pPr>
              <w:spacing w:line="276" w:lineRule="auto"/>
              <w:jc w:val="center"/>
              <w:rPr>
                <w:b/>
                <w:bCs/>
                <w:sz w:val="22"/>
                <w:szCs w:val="18"/>
              </w:rPr>
            </w:pPr>
            <w:r w:rsidRPr="00A00237">
              <w:rPr>
                <w:b/>
                <w:bCs/>
                <w:sz w:val="22"/>
                <w:szCs w:val="18"/>
              </w:rPr>
              <w:t>Berilgan kredit hajmi (mlrd BDT)</w:t>
            </w:r>
          </w:p>
        </w:tc>
        <w:tc>
          <w:tcPr>
            <w:tcW w:w="1394" w:type="dxa"/>
            <w:shd w:val="clear" w:color="auto" w:fill="BDD6EE" w:themeFill="accent1" w:themeFillTint="66"/>
            <w:vAlign w:val="center"/>
            <w:hideMark/>
          </w:tcPr>
          <w:p w14:paraId="44D4B162" w14:textId="77777777" w:rsidR="00A00237" w:rsidRPr="00A00237" w:rsidRDefault="00A00237" w:rsidP="00985072">
            <w:pPr>
              <w:spacing w:line="276" w:lineRule="auto"/>
              <w:jc w:val="center"/>
              <w:rPr>
                <w:b/>
                <w:bCs/>
                <w:sz w:val="22"/>
                <w:szCs w:val="18"/>
              </w:rPr>
            </w:pPr>
            <w:r w:rsidRPr="00A00237">
              <w:rPr>
                <w:b/>
                <w:bCs/>
                <w:sz w:val="22"/>
                <w:szCs w:val="18"/>
              </w:rPr>
              <w:t>Qarz qoldig‘i (mlrd BDT)</w:t>
            </w:r>
          </w:p>
        </w:tc>
        <w:tc>
          <w:tcPr>
            <w:tcW w:w="0" w:type="auto"/>
            <w:shd w:val="clear" w:color="auto" w:fill="BDD6EE" w:themeFill="accent1" w:themeFillTint="66"/>
            <w:vAlign w:val="center"/>
            <w:hideMark/>
          </w:tcPr>
          <w:p w14:paraId="2EA5D864" w14:textId="0AADB21E" w:rsidR="00A00237" w:rsidRPr="00A00237" w:rsidRDefault="00A00237" w:rsidP="00985072">
            <w:pPr>
              <w:spacing w:line="276" w:lineRule="auto"/>
              <w:jc w:val="center"/>
              <w:rPr>
                <w:b/>
                <w:bCs/>
                <w:sz w:val="22"/>
                <w:szCs w:val="18"/>
              </w:rPr>
            </w:pPr>
            <w:r w:rsidRPr="00A00237">
              <w:rPr>
                <w:b/>
                <w:bCs/>
                <w:sz w:val="22"/>
                <w:szCs w:val="18"/>
              </w:rPr>
              <w:t>Jamg‘ar</w:t>
            </w:r>
            <w:r>
              <w:rPr>
                <w:b/>
                <w:bCs/>
                <w:sz w:val="22"/>
                <w:szCs w:val="18"/>
              </w:rPr>
              <w:t>-</w:t>
            </w:r>
            <w:r w:rsidRPr="00A00237">
              <w:rPr>
                <w:b/>
                <w:bCs/>
                <w:sz w:val="22"/>
                <w:szCs w:val="18"/>
              </w:rPr>
              <w:t>malar (mlrd BDT)</w:t>
            </w:r>
          </w:p>
        </w:tc>
      </w:tr>
      <w:tr w:rsidR="00A00237" w:rsidRPr="00A00237" w14:paraId="5B116020" w14:textId="77777777" w:rsidTr="00A00237">
        <w:tc>
          <w:tcPr>
            <w:tcW w:w="987" w:type="dxa"/>
            <w:vAlign w:val="center"/>
            <w:hideMark/>
          </w:tcPr>
          <w:p w14:paraId="4BD119C1" w14:textId="6AFE5BA1" w:rsidR="00A00237" w:rsidRPr="00A00237" w:rsidRDefault="00A00237" w:rsidP="00985072">
            <w:pPr>
              <w:spacing w:line="276" w:lineRule="auto"/>
              <w:jc w:val="center"/>
              <w:rPr>
                <w:sz w:val="22"/>
                <w:szCs w:val="18"/>
                <w:lang w:val="ru-RU"/>
              </w:rPr>
            </w:pPr>
            <w:r w:rsidRPr="00A00237">
              <w:rPr>
                <w:sz w:val="22"/>
                <w:szCs w:val="18"/>
                <w:lang w:val="ru-RU"/>
              </w:rPr>
              <w:t>2009</w:t>
            </w:r>
            <w:r>
              <w:rPr>
                <w:sz w:val="22"/>
                <w:szCs w:val="18"/>
              </w:rPr>
              <w:t>-</w:t>
            </w:r>
            <w:r w:rsidRPr="00A00237">
              <w:rPr>
                <w:sz w:val="22"/>
                <w:szCs w:val="18"/>
                <w:lang w:val="ru-RU"/>
              </w:rPr>
              <w:t>10</w:t>
            </w:r>
          </w:p>
        </w:tc>
        <w:tc>
          <w:tcPr>
            <w:tcW w:w="970" w:type="dxa"/>
            <w:vAlign w:val="center"/>
            <w:hideMark/>
          </w:tcPr>
          <w:p w14:paraId="2FD5D915" w14:textId="77777777" w:rsidR="00A00237" w:rsidRPr="00A00237" w:rsidRDefault="00A00237" w:rsidP="00985072">
            <w:pPr>
              <w:spacing w:line="276" w:lineRule="auto"/>
              <w:jc w:val="center"/>
              <w:rPr>
                <w:sz w:val="22"/>
                <w:szCs w:val="18"/>
                <w:lang w:val="ru-RU"/>
              </w:rPr>
            </w:pPr>
            <w:r w:rsidRPr="00A00237">
              <w:rPr>
                <w:sz w:val="22"/>
                <w:szCs w:val="18"/>
                <w:lang w:val="ru-RU"/>
              </w:rPr>
              <w:t>17 252</w:t>
            </w:r>
          </w:p>
        </w:tc>
        <w:tc>
          <w:tcPr>
            <w:tcW w:w="0" w:type="auto"/>
            <w:vAlign w:val="center"/>
            <w:hideMark/>
          </w:tcPr>
          <w:p w14:paraId="39F5B78C" w14:textId="77777777" w:rsidR="00A00237" w:rsidRPr="00A00237" w:rsidRDefault="00A00237" w:rsidP="00985072">
            <w:pPr>
              <w:spacing w:line="276" w:lineRule="auto"/>
              <w:jc w:val="center"/>
              <w:rPr>
                <w:sz w:val="22"/>
                <w:szCs w:val="18"/>
                <w:lang w:val="ru-RU"/>
              </w:rPr>
            </w:pPr>
            <w:r w:rsidRPr="00A00237">
              <w:rPr>
                <w:sz w:val="22"/>
                <w:szCs w:val="18"/>
                <w:lang w:val="ru-RU"/>
              </w:rPr>
              <w:t>109 597</w:t>
            </w:r>
          </w:p>
        </w:tc>
        <w:tc>
          <w:tcPr>
            <w:tcW w:w="0" w:type="auto"/>
            <w:vAlign w:val="center"/>
            <w:hideMark/>
          </w:tcPr>
          <w:p w14:paraId="228F4330" w14:textId="77777777" w:rsidR="00A00237" w:rsidRPr="00A00237" w:rsidRDefault="00A00237" w:rsidP="00985072">
            <w:pPr>
              <w:spacing w:line="276" w:lineRule="auto"/>
              <w:jc w:val="center"/>
              <w:rPr>
                <w:sz w:val="22"/>
                <w:szCs w:val="18"/>
                <w:lang w:val="ru-RU"/>
              </w:rPr>
            </w:pPr>
            <w:r w:rsidRPr="00A00237">
              <w:rPr>
                <w:sz w:val="22"/>
                <w:szCs w:val="18"/>
                <w:lang w:val="ru-RU"/>
              </w:rPr>
              <w:t>25,28</w:t>
            </w:r>
          </w:p>
        </w:tc>
        <w:tc>
          <w:tcPr>
            <w:tcW w:w="1189" w:type="dxa"/>
            <w:vAlign w:val="center"/>
            <w:hideMark/>
          </w:tcPr>
          <w:p w14:paraId="6D114D4B" w14:textId="77777777" w:rsidR="00A00237" w:rsidRPr="00A00237" w:rsidRDefault="00A00237" w:rsidP="00985072">
            <w:pPr>
              <w:spacing w:line="276" w:lineRule="auto"/>
              <w:jc w:val="center"/>
              <w:rPr>
                <w:sz w:val="22"/>
                <w:szCs w:val="18"/>
                <w:lang w:val="ru-RU"/>
              </w:rPr>
            </w:pPr>
            <w:r w:rsidRPr="00A00237">
              <w:rPr>
                <w:sz w:val="22"/>
                <w:szCs w:val="18"/>
                <w:lang w:val="ru-RU"/>
              </w:rPr>
              <w:t>19,21</w:t>
            </w:r>
          </w:p>
        </w:tc>
        <w:tc>
          <w:tcPr>
            <w:tcW w:w="1417" w:type="dxa"/>
            <w:vAlign w:val="center"/>
            <w:hideMark/>
          </w:tcPr>
          <w:p w14:paraId="4BCF33AD" w14:textId="77777777" w:rsidR="00A00237" w:rsidRPr="00A00237" w:rsidRDefault="00A00237" w:rsidP="00985072">
            <w:pPr>
              <w:spacing w:line="276" w:lineRule="auto"/>
              <w:jc w:val="center"/>
              <w:rPr>
                <w:sz w:val="22"/>
                <w:szCs w:val="18"/>
                <w:lang w:val="ru-RU"/>
              </w:rPr>
            </w:pPr>
            <w:r w:rsidRPr="00A00237">
              <w:rPr>
                <w:sz w:val="22"/>
                <w:szCs w:val="18"/>
                <w:lang w:val="ru-RU"/>
              </w:rPr>
              <w:t>306,72</w:t>
            </w:r>
          </w:p>
        </w:tc>
        <w:tc>
          <w:tcPr>
            <w:tcW w:w="1394" w:type="dxa"/>
            <w:vAlign w:val="center"/>
            <w:hideMark/>
          </w:tcPr>
          <w:p w14:paraId="66FE5062" w14:textId="77777777" w:rsidR="00A00237" w:rsidRPr="00A00237" w:rsidRDefault="00A00237" w:rsidP="00985072">
            <w:pPr>
              <w:spacing w:line="276" w:lineRule="auto"/>
              <w:jc w:val="center"/>
              <w:rPr>
                <w:sz w:val="22"/>
                <w:szCs w:val="18"/>
                <w:lang w:val="ru-RU"/>
              </w:rPr>
            </w:pPr>
            <w:r w:rsidRPr="00A00237">
              <w:rPr>
                <w:sz w:val="22"/>
                <w:szCs w:val="18"/>
                <w:lang w:val="ru-RU"/>
              </w:rPr>
              <w:t>145,02</w:t>
            </w:r>
          </w:p>
        </w:tc>
        <w:tc>
          <w:tcPr>
            <w:tcW w:w="0" w:type="auto"/>
            <w:vAlign w:val="center"/>
            <w:hideMark/>
          </w:tcPr>
          <w:p w14:paraId="455EA5F4" w14:textId="77777777" w:rsidR="00A00237" w:rsidRPr="00A00237" w:rsidRDefault="00A00237" w:rsidP="00985072">
            <w:pPr>
              <w:spacing w:line="276" w:lineRule="auto"/>
              <w:jc w:val="center"/>
              <w:rPr>
                <w:sz w:val="22"/>
                <w:szCs w:val="18"/>
                <w:lang w:val="ru-RU"/>
              </w:rPr>
            </w:pPr>
            <w:r w:rsidRPr="00A00237">
              <w:rPr>
                <w:sz w:val="22"/>
                <w:szCs w:val="18"/>
                <w:lang w:val="ru-RU"/>
              </w:rPr>
              <w:t>51,36</w:t>
            </w:r>
          </w:p>
        </w:tc>
      </w:tr>
      <w:tr w:rsidR="00A00237" w:rsidRPr="00A00237" w14:paraId="10AD8D37" w14:textId="77777777" w:rsidTr="00A00237">
        <w:tc>
          <w:tcPr>
            <w:tcW w:w="987" w:type="dxa"/>
            <w:vAlign w:val="center"/>
            <w:hideMark/>
          </w:tcPr>
          <w:p w14:paraId="44A18756" w14:textId="29BE7142" w:rsidR="00A00237" w:rsidRPr="00A00237" w:rsidRDefault="00A00237" w:rsidP="00985072">
            <w:pPr>
              <w:spacing w:line="276" w:lineRule="auto"/>
              <w:jc w:val="center"/>
              <w:rPr>
                <w:sz w:val="22"/>
                <w:szCs w:val="18"/>
                <w:lang w:val="ru-RU"/>
              </w:rPr>
            </w:pPr>
            <w:r w:rsidRPr="00A00237">
              <w:rPr>
                <w:sz w:val="22"/>
                <w:szCs w:val="18"/>
                <w:lang w:val="ru-RU"/>
              </w:rPr>
              <w:t>2010</w:t>
            </w:r>
            <w:r>
              <w:rPr>
                <w:sz w:val="22"/>
                <w:szCs w:val="18"/>
              </w:rPr>
              <w:t>-</w:t>
            </w:r>
            <w:r w:rsidRPr="00A00237">
              <w:rPr>
                <w:sz w:val="22"/>
                <w:szCs w:val="18"/>
                <w:lang w:val="ru-RU"/>
              </w:rPr>
              <w:t>11</w:t>
            </w:r>
          </w:p>
        </w:tc>
        <w:tc>
          <w:tcPr>
            <w:tcW w:w="970" w:type="dxa"/>
            <w:vAlign w:val="center"/>
            <w:hideMark/>
          </w:tcPr>
          <w:p w14:paraId="03D1D4AC" w14:textId="77777777" w:rsidR="00A00237" w:rsidRPr="00A00237" w:rsidRDefault="00A00237" w:rsidP="00985072">
            <w:pPr>
              <w:spacing w:line="276" w:lineRule="auto"/>
              <w:jc w:val="center"/>
              <w:rPr>
                <w:sz w:val="22"/>
                <w:szCs w:val="18"/>
                <w:lang w:val="ru-RU"/>
              </w:rPr>
            </w:pPr>
            <w:r w:rsidRPr="00A00237">
              <w:rPr>
                <w:sz w:val="22"/>
                <w:szCs w:val="18"/>
                <w:lang w:val="ru-RU"/>
              </w:rPr>
              <w:t>18 066</w:t>
            </w:r>
          </w:p>
        </w:tc>
        <w:tc>
          <w:tcPr>
            <w:tcW w:w="0" w:type="auto"/>
            <w:vAlign w:val="center"/>
            <w:hideMark/>
          </w:tcPr>
          <w:p w14:paraId="23D88993" w14:textId="77777777" w:rsidR="00A00237" w:rsidRPr="00A00237" w:rsidRDefault="00A00237" w:rsidP="00985072">
            <w:pPr>
              <w:spacing w:line="276" w:lineRule="auto"/>
              <w:jc w:val="center"/>
              <w:rPr>
                <w:sz w:val="22"/>
                <w:szCs w:val="18"/>
                <w:lang w:val="ru-RU"/>
              </w:rPr>
            </w:pPr>
            <w:r w:rsidRPr="00A00237">
              <w:rPr>
                <w:sz w:val="22"/>
                <w:szCs w:val="18"/>
                <w:lang w:val="ru-RU"/>
              </w:rPr>
              <w:t>111 828</w:t>
            </w:r>
          </w:p>
        </w:tc>
        <w:tc>
          <w:tcPr>
            <w:tcW w:w="0" w:type="auto"/>
            <w:vAlign w:val="center"/>
            <w:hideMark/>
          </w:tcPr>
          <w:p w14:paraId="4522A3FE" w14:textId="77777777" w:rsidR="00A00237" w:rsidRPr="00A00237" w:rsidRDefault="00A00237" w:rsidP="00985072">
            <w:pPr>
              <w:spacing w:line="276" w:lineRule="auto"/>
              <w:jc w:val="center"/>
              <w:rPr>
                <w:sz w:val="22"/>
                <w:szCs w:val="18"/>
                <w:lang w:val="ru-RU"/>
              </w:rPr>
            </w:pPr>
            <w:r w:rsidRPr="00A00237">
              <w:rPr>
                <w:sz w:val="22"/>
                <w:szCs w:val="18"/>
                <w:lang w:val="ru-RU"/>
              </w:rPr>
              <w:t>26,08</w:t>
            </w:r>
          </w:p>
        </w:tc>
        <w:tc>
          <w:tcPr>
            <w:tcW w:w="1189" w:type="dxa"/>
            <w:vAlign w:val="center"/>
            <w:hideMark/>
          </w:tcPr>
          <w:p w14:paraId="5CFA2E13" w14:textId="77777777" w:rsidR="00A00237" w:rsidRPr="00A00237" w:rsidRDefault="00A00237" w:rsidP="00985072">
            <w:pPr>
              <w:spacing w:line="276" w:lineRule="auto"/>
              <w:jc w:val="center"/>
              <w:rPr>
                <w:sz w:val="22"/>
                <w:szCs w:val="18"/>
                <w:lang w:val="ru-RU"/>
              </w:rPr>
            </w:pPr>
            <w:r w:rsidRPr="00A00237">
              <w:rPr>
                <w:sz w:val="22"/>
                <w:szCs w:val="18"/>
                <w:lang w:val="ru-RU"/>
              </w:rPr>
              <w:t>20,65</w:t>
            </w:r>
          </w:p>
        </w:tc>
        <w:tc>
          <w:tcPr>
            <w:tcW w:w="1417" w:type="dxa"/>
            <w:vAlign w:val="center"/>
            <w:hideMark/>
          </w:tcPr>
          <w:p w14:paraId="04C670D6" w14:textId="77777777" w:rsidR="00A00237" w:rsidRPr="00A00237" w:rsidRDefault="00A00237" w:rsidP="00985072">
            <w:pPr>
              <w:spacing w:line="276" w:lineRule="auto"/>
              <w:jc w:val="center"/>
              <w:rPr>
                <w:sz w:val="22"/>
                <w:szCs w:val="18"/>
                <w:lang w:val="ru-RU"/>
              </w:rPr>
            </w:pPr>
            <w:r w:rsidRPr="00A00237">
              <w:rPr>
                <w:sz w:val="22"/>
                <w:szCs w:val="18"/>
                <w:lang w:val="ru-RU"/>
              </w:rPr>
              <w:t>303,18</w:t>
            </w:r>
          </w:p>
        </w:tc>
        <w:tc>
          <w:tcPr>
            <w:tcW w:w="1394" w:type="dxa"/>
            <w:vAlign w:val="center"/>
            <w:hideMark/>
          </w:tcPr>
          <w:p w14:paraId="4BE384BA" w14:textId="77777777" w:rsidR="00A00237" w:rsidRPr="00A00237" w:rsidRDefault="00A00237" w:rsidP="00985072">
            <w:pPr>
              <w:spacing w:line="276" w:lineRule="auto"/>
              <w:jc w:val="center"/>
              <w:rPr>
                <w:sz w:val="22"/>
                <w:szCs w:val="18"/>
                <w:lang w:val="ru-RU"/>
              </w:rPr>
            </w:pPr>
            <w:r w:rsidRPr="00A00237">
              <w:rPr>
                <w:sz w:val="22"/>
                <w:szCs w:val="18"/>
                <w:lang w:val="ru-RU"/>
              </w:rPr>
              <w:t>173,79</w:t>
            </w:r>
          </w:p>
        </w:tc>
        <w:tc>
          <w:tcPr>
            <w:tcW w:w="0" w:type="auto"/>
            <w:vAlign w:val="center"/>
            <w:hideMark/>
          </w:tcPr>
          <w:p w14:paraId="7267BC3E" w14:textId="77777777" w:rsidR="00A00237" w:rsidRPr="00A00237" w:rsidRDefault="00A00237" w:rsidP="00985072">
            <w:pPr>
              <w:spacing w:line="276" w:lineRule="auto"/>
              <w:jc w:val="center"/>
              <w:rPr>
                <w:sz w:val="22"/>
                <w:szCs w:val="18"/>
                <w:lang w:val="ru-RU"/>
              </w:rPr>
            </w:pPr>
            <w:r w:rsidRPr="00A00237">
              <w:rPr>
                <w:sz w:val="22"/>
                <w:szCs w:val="18"/>
                <w:lang w:val="ru-RU"/>
              </w:rPr>
              <w:t>63,3</w:t>
            </w:r>
          </w:p>
        </w:tc>
      </w:tr>
      <w:tr w:rsidR="00A00237" w:rsidRPr="00A00237" w14:paraId="4EFB50BD" w14:textId="77777777" w:rsidTr="00A00237">
        <w:tc>
          <w:tcPr>
            <w:tcW w:w="987" w:type="dxa"/>
            <w:vAlign w:val="center"/>
            <w:hideMark/>
          </w:tcPr>
          <w:p w14:paraId="6D0F1FAA" w14:textId="7D90D236" w:rsidR="00A00237" w:rsidRPr="00A00237" w:rsidRDefault="00A00237" w:rsidP="00985072">
            <w:pPr>
              <w:spacing w:line="276" w:lineRule="auto"/>
              <w:jc w:val="center"/>
              <w:rPr>
                <w:sz w:val="22"/>
                <w:szCs w:val="18"/>
                <w:lang w:val="ru-RU"/>
              </w:rPr>
            </w:pPr>
            <w:r w:rsidRPr="00A00237">
              <w:rPr>
                <w:sz w:val="22"/>
                <w:szCs w:val="18"/>
                <w:lang w:val="ru-RU"/>
              </w:rPr>
              <w:t>2011</w:t>
            </w:r>
            <w:r>
              <w:rPr>
                <w:sz w:val="22"/>
                <w:szCs w:val="18"/>
              </w:rPr>
              <w:t>-</w:t>
            </w:r>
            <w:r w:rsidRPr="00A00237">
              <w:rPr>
                <w:sz w:val="22"/>
                <w:szCs w:val="18"/>
                <w:lang w:val="ru-RU"/>
              </w:rPr>
              <w:t>12</w:t>
            </w:r>
          </w:p>
        </w:tc>
        <w:tc>
          <w:tcPr>
            <w:tcW w:w="970" w:type="dxa"/>
            <w:vAlign w:val="center"/>
            <w:hideMark/>
          </w:tcPr>
          <w:p w14:paraId="783EAECC" w14:textId="77777777" w:rsidR="00A00237" w:rsidRPr="00A00237" w:rsidRDefault="00A00237" w:rsidP="00985072">
            <w:pPr>
              <w:spacing w:line="276" w:lineRule="auto"/>
              <w:jc w:val="center"/>
              <w:rPr>
                <w:sz w:val="22"/>
                <w:szCs w:val="18"/>
                <w:lang w:val="ru-RU"/>
              </w:rPr>
            </w:pPr>
            <w:r w:rsidRPr="00A00237">
              <w:rPr>
                <w:sz w:val="22"/>
                <w:szCs w:val="18"/>
                <w:lang w:val="ru-RU"/>
              </w:rPr>
              <w:t>17 977</w:t>
            </w:r>
          </w:p>
        </w:tc>
        <w:tc>
          <w:tcPr>
            <w:tcW w:w="0" w:type="auto"/>
            <w:vAlign w:val="center"/>
            <w:hideMark/>
          </w:tcPr>
          <w:p w14:paraId="17C4B3A2" w14:textId="77777777" w:rsidR="00A00237" w:rsidRPr="00A00237" w:rsidRDefault="00A00237" w:rsidP="00985072">
            <w:pPr>
              <w:spacing w:line="276" w:lineRule="auto"/>
              <w:jc w:val="center"/>
              <w:rPr>
                <w:sz w:val="22"/>
                <w:szCs w:val="18"/>
                <w:lang w:val="ru-RU"/>
              </w:rPr>
            </w:pPr>
            <w:r w:rsidRPr="00A00237">
              <w:rPr>
                <w:sz w:val="22"/>
                <w:szCs w:val="18"/>
                <w:lang w:val="ru-RU"/>
              </w:rPr>
              <w:t>108 654</w:t>
            </w:r>
          </w:p>
        </w:tc>
        <w:tc>
          <w:tcPr>
            <w:tcW w:w="0" w:type="auto"/>
            <w:vAlign w:val="center"/>
            <w:hideMark/>
          </w:tcPr>
          <w:p w14:paraId="702C1A80" w14:textId="77777777" w:rsidR="00A00237" w:rsidRPr="00A00237" w:rsidRDefault="00A00237" w:rsidP="00985072">
            <w:pPr>
              <w:spacing w:line="276" w:lineRule="auto"/>
              <w:jc w:val="center"/>
              <w:rPr>
                <w:sz w:val="22"/>
                <w:szCs w:val="18"/>
                <w:lang w:val="ru-RU"/>
              </w:rPr>
            </w:pPr>
            <w:r w:rsidRPr="00A00237">
              <w:rPr>
                <w:sz w:val="22"/>
                <w:szCs w:val="18"/>
                <w:lang w:val="ru-RU"/>
              </w:rPr>
              <w:t>24,64</w:t>
            </w:r>
          </w:p>
        </w:tc>
        <w:tc>
          <w:tcPr>
            <w:tcW w:w="1189" w:type="dxa"/>
            <w:vAlign w:val="center"/>
            <w:hideMark/>
          </w:tcPr>
          <w:p w14:paraId="670199BB" w14:textId="77777777" w:rsidR="00A00237" w:rsidRPr="00A00237" w:rsidRDefault="00A00237" w:rsidP="00985072">
            <w:pPr>
              <w:spacing w:line="276" w:lineRule="auto"/>
              <w:jc w:val="center"/>
              <w:rPr>
                <w:sz w:val="22"/>
                <w:szCs w:val="18"/>
                <w:lang w:val="ru-RU"/>
              </w:rPr>
            </w:pPr>
            <w:r w:rsidRPr="00A00237">
              <w:rPr>
                <w:sz w:val="22"/>
                <w:szCs w:val="18"/>
                <w:lang w:val="ru-RU"/>
              </w:rPr>
              <w:t>19,31</w:t>
            </w:r>
          </w:p>
        </w:tc>
        <w:tc>
          <w:tcPr>
            <w:tcW w:w="1417" w:type="dxa"/>
            <w:vAlign w:val="center"/>
            <w:hideMark/>
          </w:tcPr>
          <w:p w14:paraId="4373973D" w14:textId="77777777" w:rsidR="00A00237" w:rsidRPr="00A00237" w:rsidRDefault="00A00237" w:rsidP="00985072">
            <w:pPr>
              <w:spacing w:line="276" w:lineRule="auto"/>
              <w:jc w:val="center"/>
              <w:rPr>
                <w:sz w:val="22"/>
                <w:szCs w:val="18"/>
                <w:lang w:val="ru-RU"/>
              </w:rPr>
            </w:pPr>
            <w:r w:rsidRPr="00A00237">
              <w:rPr>
                <w:sz w:val="22"/>
                <w:szCs w:val="18"/>
                <w:lang w:val="ru-RU"/>
              </w:rPr>
              <w:t>456,02</w:t>
            </w:r>
          </w:p>
        </w:tc>
        <w:tc>
          <w:tcPr>
            <w:tcW w:w="1394" w:type="dxa"/>
            <w:vAlign w:val="center"/>
            <w:hideMark/>
          </w:tcPr>
          <w:p w14:paraId="447DE61D" w14:textId="77777777" w:rsidR="00A00237" w:rsidRPr="00A00237" w:rsidRDefault="00A00237" w:rsidP="00985072">
            <w:pPr>
              <w:spacing w:line="276" w:lineRule="auto"/>
              <w:jc w:val="center"/>
              <w:rPr>
                <w:sz w:val="22"/>
                <w:szCs w:val="18"/>
                <w:lang w:val="ru-RU"/>
              </w:rPr>
            </w:pPr>
            <w:r w:rsidRPr="00A00237">
              <w:rPr>
                <w:sz w:val="22"/>
                <w:szCs w:val="18"/>
                <w:lang w:val="ru-RU"/>
              </w:rPr>
              <w:t>211,32</w:t>
            </w:r>
          </w:p>
        </w:tc>
        <w:tc>
          <w:tcPr>
            <w:tcW w:w="0" w:type="auto"/>
            <w:vAlign w:val="center"/>
            <w:hideMark/>
          </w:tcPr>
          <w:p w14:paraId="2CF1B00B" w14:textId="77777777" w:rsidR="00A00237" w:rsidRPr="00A00237" w:rsidRDefault="00A00237" w:rsidP="00985072">
            <w:pPr>
              <w:spacing w:line="276" w:lineRule="auto"/>
              <w:jc w:val="center"/>
              <w:rPr>
                <w:sz w:val="22"/>
                <w:szCs w:val="18"/>
                <w:lang w:val="ru-RU"/>
              </w:rPr>
            </w:pPr>
            <w:r w:rsidRPr="00A00237">
              <w:rPr>
                <w:sz w:val="22"/>
                <w:szCs w:val="18"/>
                <w:lang w:val="ru-RU"/>
              </w:rPr>
              <w:t>75,25</w:t>
            </w:r>
          </w:p>
        </w:tc>
      </w:tr>
      <w:tr w:rsidR="00A00237" w:rsidRPr="00A00237" w14:paraId="3FF8D727" w14:textId="77777777" w:rsidTr="00A00237">
        <w:tc>
          <w:tcPr>
            <w:tcW w:w="987" w:type="dxa"/>
            <w:vAlign w:val="center"/>
            <w:hideMark/>
          </w:tcPr>
          <w:p w14:paraId="1A554C16" w14:textId="434663BA" w:rsidR="00A00237" w:rsidRPr="00A00237" w:rsidRDefault="00A00237" w:rsidP="00985072">
            <w:pPr>
              <w:spacing w:line="276" w:lineRule="auto"/>
              <w:jc w:val="center"/>
              <w:rPr>
                <w:sz w:val="22"/>
                <w:szCs w:val="18"/>
                <w:lang w:val="ru-RU"/>
              </w:rPr>
            </w:pPr>
            <w:r w:rsidRPr="00A00237">
              <w:rPr>
                <w:sz w:val="22"/>
                <w:szCs w:val="18"/>
                <w:lang w:val="ru-RU"/>
              </w:rPr>
              <w:t>2012</w:t>
            </w:r>
            <w:r>
              <w:rPr>
                <w:sz w:val="22"/>
                <w:szCs w:val="18"/>
              </w:rPr>
              <w:t>-</w:t>
            </w:r>
            <w:r w:rsidRPr="00A00237">
              <w:rPr>
                <w:sz w:val="22"/>
                <w:szCs w:val="18"/>
                <w:lang w:val="ru-RU"/>
              </w:rPr>
              <w:t>13</w:t>
            </w:r>
          </w:p>
        </w:tc>
        <w:tc>
          <w:tcPr>
            <w:tcW w:w="970" w:type="dxa"/>
            <w:vAlign w:val="center"/>
            <w:hideMark/>
          </w:tcPr>
          <w:p w14:paraId="5554B145" w14:textId="77777777" w:rsidR="00A00237" w:rsidRPr="00A00237" w:rsidRDefault="00A00237" w:rsidP="00985072">
            <w:pPr>
              <w:spacing w:line="276" w:lineRule="auto"/>
              <w:jc w:val="center"/>
              <w:rPr>
                <w:sz w:val="22"/>
                <w:szCs w:val="18"/>
                <w:lang w:val="ru-RU"/>
              </w:rPr>
            </w:pPr>
            <w:r w:rsidRPr="00A00237">
              <w:rPr>
                <w:sz w:val="22"/>
                <w:szCs w:val="18"/>
                <w:lang w:val="ru-RU"/>
              </w:rPr>
              <w:t>14 674</w:t>
            </w:r>
          </w:p>
        </w:tc>
        <w:tc>
          <w:tcPr>
            <w:tcW w:w="0" w:type="auto"/>
            <w:vAlign w:val="center"/>
            <w:hideMark/>
          </w:tcPr>
          <w:p w14:paraId="2D2196A2" w14:textId="77777777" w:rsidR="00A00237" w:rsidRPr="00A00237" w:rsidRDefault="00A00237" w:rsidP="00985072">
            <w:pPr>
              <w:spacing w:line="276" w:lineRule="auto"/>
              <w:jc w:val="center"/>
              <w:rPr>
                <w:sz w:val="22"/>
                <w:szCs w:val="18"/>
                <w:lang w:val="ru-RU"/>
              </w:rPr>
            </w:pPr>
            <w:r w:rsidRPr="00A00237">
              <w:rPr>
                <w:sz w:val="22"/>
                <w:szCs w:val="18"/>
                <w:lang w:val="ru-RU"/>
              </w:rPr>
              <w:t>110 734</w:t>
            </w:r>
          </w:p>
        </w:tc>
        <w:tc>
          <w:tcPr>
            <w:tcW w:w="0" w:type="auto"/>
            <w:vAlign w:val="center"/>
            <w:hideMark/>
          </w:tcPr>
          <w:p w14:paraId="7C9C9446" w14:textId="77777777" w:rsidR="00A00237" w:rsidRPr="00A00237" w:rsidRDefault="00A00237" w:rsidP="00985072">
            <w:pPr>
              <w:spacing w:line="276" w:lineRule="auto"/>
              <w:jc w:val="center"/>
              <w:rPr>
                <w:sz w:val="22"/>
                <w:szCs w:val="18"/>
                <w:lang w:val="ru-RU"/>
              </w:rPr>
            </w:pPr>
            <w:r w:rsidRPr="00A00237">
              <w:rPr>
                <w:sz w:val="22"/>
                <w:szCs w:val="18"/>
                <w:lang w:val="ru-RU"/>
              </w:rPr>
              <w:t>24,6</w:t>
            </w:r>
          </w:p>
        </w:tc>
        <w:tc>
          <w:tcPr>
            <w:tcW w:w="1189" w:type="dxa"/>
            <w:vAlign w:val="center"/>
            <w:hideMark/>
          </w:tcPr>
          <w:p w14:paraId="1DF12FF4" w14:textId="77777777" w:rsidR="00A00237" w:rsidRPr="00A00237" w:rsidRDefault="00A00237" w:rsidP="00985072">
            <w:pPr>
              <w:spacing w:line="276" w:lineRule="auto"/>
              <w:jc w:val="center"/>
              <w:rPr>
                <w:sz w:val="22"/>
                <w:szCs w:val="18"/>
                <w:lang w:val="ru-RU"/>
              </w:rPr>
            </w:pPr>
            <w:r w:rsidRPr="00A00237">
              <w:rPr>
                <w:sz w:val="22"/>
                <w:szCs w:val="18"/>
                <w:lang w:val="ru-RU"/>
              </w:rPr>
              <w:t>19,27</w:t>
            </w:r>
          </w:p>
        </w:tc>
        <w:tc>
          <w:tcPr>
            <w:tcW w:w="1417" w:type="dxa"/>
            <w:vAlign w:val="center"/>
            <w:hideMark/>
          </w:tcPr>
          <w:p w14:paraId="48C9541E" w14:textId="77777777" w:rsidR="00A00237" w:rsidRPr="00A00237" w:rsidRDefault="00A00237" w:rsidP="00985072">
            <w:pPr>
              <w:spacing w:line="276" w:lineRule="auto"/>
              <w:jc w:val="center"/>
              <w:rPr>
                <w:sz w:val="22"/>
                <w:szCs w:val="18"/>
                <w:lang w:val="ru-RU"/>
              </w:rPr>
            </w:pPr>
            <w:r w:rsidRPr="00A00237">
              <w:rPr>
                <w:sz w:val="22"/>
                <w:szCs w:val="18"/>
                <w:lang w:val="ru-RU"/>
              </w:rPr>
              <w:t>432,28</w:t>
            </w:r>
          </w:p>
        </w:tc>
        <w:tc>
          <w:tcPr>
            <w:tcW w:w="1394" w:type="dxa"/>
            <w:vAlign w:val="center"/>
            <w:hideMark/>
          </w:tcPr>
          <w:p w14:paraId="6EACF0BE" w14:textId="77777777" w:rsidR="00A00237" w:rsidRPr="00A00237" w:rsidRDefault="00A00237" w:rsidP="00985072">
            <w:pPr>
              <w:spacing w:line="276" w:lineRule="auto"/>
              <w:jc w:val="center"/>
              <w:rPr>
                <w:sz w:val="22"/>
                <w:szCs w:val="18"/>
                <w:lang w:val="ru-RU"/>
              </w:rPr>
            </w:pPr>
            <w:r w:rsidRPr="00A00237">
              <w:rPr>
                <w:sz w:val="22"/>
                <w:szCs w:val="18"/>
                <w:lang w:val="ru-RU"/>
              </w:rPr>
              <w:t>257,01</w:t>
            </w:r>
          </w:p>
        </w:tc>
        <w:tc>
          <w:tcPr>
            <w:tcW w:w="0" w:type="auto"/>
            <w:vAlign w:val="center"/>
            <w:hideMark/>
          </w:tcPr>
          <w:p w14:paraId="7B9C8DCC" w14:textId="77777777" w:rsidR="00A00237" w:rsidRPr="00A00237" w:rsidRDefault="00A00237" w:rsidP="00985072">
            <w:pPr>
              <w:spacing w:line="276" w:lineRule="auto"/>
              <w:jc w:val="center"/>
              <w:rPr>
                <w:sz w:val="22"/>
                <w:szCs w:val="18"/>
                <w:lang w:val="ru-RU"/>
              </w:rPr>
            </w:pPr>
            <w:r w:rsidRPr="00A00237">
              <w:rPr>
                <w:sz w:val="22"/>
                <w:szCs w:val="18"/>
                <w:lang w:val="ru-RU"/>
              </w:rPr>
              <w:t>93,99</w:t>
            </w:r>
          </w:p>
        </w:tc>
      </w:tr>
      <w:tr w:rsidR="00A00237" w:rsidRPr="00A00237" w14:paraId="6938ABF2" w14:textId="77777777" w:rsidTr="00A00237">
        <w:tc>
          <w:tcPr>
            <w:tcW w:w="987" w:type="dxa"/>
            <w:vAlign w:val="center"/>
            <w:hideMark/>
          </w:tcPr>
          <w:p w14:paraId="4862B960" w14:textId="2C7609C6" w:rsidR="00A00237" w:rsidRPr="00A00237" w:rsidRDefault="00A00237" w:rsidP="00985072">
            <w:pPr>
              <w:spacing w:line="276" w:lineRule="auto"/>
              <w:jc w:val="center"/>
              <w:rPr>
                <w:sz w:val="22"/>
                <w:szCs w:val="18"/>
                <w:lang w:val="ru-RU"/>
              </w:rPr>
            </w:pPr>
            <w:r w:rsidRPr="00A00237">
              <w:rPr>
                <w:sz w:val="22"/>
                <w:szCs w:val="18"/>
                <w:lang w:val="ru-RU"/>
              </w:rPr>
              <w:t>2013</w:t>
            </w:r>
            <w:r>
              <w:rPr>
                <w:sz w:val="22"/>
                <w:szCs w:val="18"/>
              </w:rPr>
              <w:t>-</w:t>
            </w:r>
            <w:r w:rsidRPr="00A00237">
              <w:rPr>
                <w:sz w:val="22"/>
                <w:szCs w:val="18"/>
                <w:lang w:val="ru-RU"/>
              </w:rPr>
              <w:t>14</w:t>
            </w:r>
          </w:p>
        </w:tc>
        <w:tc>
          <w:tcPr>
            <w:tcW w:w="970" w:type="dxa"/>
            <w:vAlign w:val="center"/>
            <w:hideMark/>
          </w:tcPr>
          <w:p w14:paraId="0E6E7949" w14:textId="77777777" w:rsidR="00A00237" w:rsidRPr="00A00237" w:rsidRDefault="00A00237" w:rsidP="00985072">
            <w:pPr>
              <w:spacing w:line="276" w:lineRule="auto"/>
              <w:jc w:val="center"/>
              <w:rPr>
                <w:sz w:val="22"/>
                <w:szCs w:val="18"/>
                <w:lang w:val="ru-RU"/>
              </w:rPr>
            </w:pPr>
            <w:r w:rsidRPr="00A00237">
              <w:rPr>
                <w:sz w:val="22"/>
                <w:szCs w:val="18"/>
                <w:lang w:val="ru-RU"/>
              </w:rPr>
              <w:t>14 730</w:t>
            </w:r>
          </w:p>
        </w:tc>
        <w:tc>
          <w:tcPr>
            <w:tcW w:w="0" w:type="auto"/>
            <w:vAlign w:val="center"/>
            <w:hideMark/>
          </w:tcPr>
          <w:p w14:paraId="3F2F9E17" w14:textId="77777777" w:rsidR="00A00237" w:rsidRPr="00A00237" w:rsidRDefault="00A00237" w:rsidP="00985072">
            <w:pPr>
              <w:spacing w:line="276" w:lineRule="auto"/>
              <w:jc w:val="center"/>
              <w:rPr>
                <w:sz w:val="22"/>
                <w:szCs w:val="18"/>
                <w:lang w:val="ru-RU"/>
              </w:rPr>
            </w:pPr>
            <w:r w:rsidRPr="00A00237">
              <w:rPr>
                <w:sz w:val="22"/>
                <w:szCs w:val="18"/>
                <w:lang w:val="ru-RU"/>
              </w:rPr>
              <w:t>109 628</w:t>
            </w:r>
          </w:p>
        </w:tc>
        <w:tc>
          <w:tcPr>
            <w:tcW w:w="0" w:type="auto"/>
            <w:vAlign w:val="center"/>
            <w:hideMark/>
          </w:tcPr>
          <w:p w14:paraId="20D0B784" w14:textId="77777777" w:rsidR="00A00237" w:rsidRPr="00A00237" w:rsidRDefault="00A00237" w:rsidP="00985072">
            <w:pPr>
              <w:spacing w:line="276" w:lineRule="auto"/>
              <w:jc w:val="center"/>
              <w:rPr>
                <w:sz w:val="22"/>
                <w:szCs w:val="18"/>
                <w:lang w:val="ru-RU"/>
              </w:rPr>
            </w:pPr>
            <w:r w:rsidRPr="00A00237">
              <w:rPr>
                <w:sz w:val="22"/>
                <w:szCs w:val="18"/>
                <w:lang w:val="ru-RU"/>
              </w:rPr>
              <w:t>25,11</w:t>
            </w:r>
          </w:p>
        </w:tc>
        <w:tc>
          <w:tcPr>
            <w:tcW w:w="1189" w:type="dxa"/>
            <w:vAlign w:val="center"/>
            <w:hideMark/>
          </w:tcPr>
          <w:p w14:paraId="021D10A8" w14:textId="77777777" w:rsidR="00A00237" w:rsidRPr="00A00237" w:rsidRDefault="00A00237" w:rsidP="00985072">
            <w:pPr>
              <w:spacing w:line="276" w:lineRule="auto"/>
              <w:jc w:val="center"/>
              <w:rPr>
                <w:sz w:val="22"/>
                <w:szCs w:val="18"/>
                <w:lang w:val="ru-RU"/>
              </w:rPr>
            </w:pPr>
            <w:r w:rsidRPr="00A00237">
              <w:rPr>
                <w:sz w:val="22"/>
                <w:szCs w:val="18"/>
                <w:lang w:val="ru-RU"/>
              </w:rPr>
              <w:t>19,42</w:t>
            </w:r>
          </w:p>
        </w:tc>
        <w:tc>
          <w:tcPr>
            <w:tcW w:w="1417" w:type="dxa"/>
            <w:vAlign w:val="center"/>
            <w:hideMark/>
          </w:tcPr>
          <w:p w14:paraId="3014BE5F" w14:textId="77777777" w:rsidR="00A00237" w:rsidRPr="00A00237" w:rsidRDefault="00A00237" w:rsidP="00985072">
            <w:pPr>
              <w:spacing w:line="276" w:lineRule="auto"/>
              <w:jc w:val="center"/>
              <w:rPr>
                <w:sz w:val="22"/>
                <w:szCs w:val="18"/>
                <w:lang w:val="ru-RU"/>
              </w:rPr>
            </w:pPr>
            <w:r w:rsidRPr="00A00237">
              <w:rPr>
                <w:sz w:val="22"/>
                <w:szCs w:val="18"/>
                <w:lang w:val="ru-RU"/>
              </w:rPr>
              <w:t>462,0</w:t>
            </w:r>
          </w:p>
        </w:tc>
        <w:tc>
          <w:tcPr>
            <w:tcW w:w="1394" w:type="dxa"/>
            <w:vAlign w:val="center"/>
            <w:hideMark/>
          </w:tcPr>
          <w:p w14:paraId="26D804FA" w14:textId="77777777" w:rsidR="00A00237" w:rsidRPr="00A00237" w:rsidRDefault="00A00237" w:rsidP="00985072">
            <w:pPr>
              <w:spacing w:line="276" w:lineRule="auto"/>
              <w:jc w:val="center"/>
              <w:rPr>
                <w:sz w:val="22"/>
                <w:szCs w:val="18"/>
                <w:lang w:val="ru-RU"/>
              </w:rPr>
            </w:pPr>
            <w:r w:rsidRPr="00A00237">
              <w:rPr>
                <w:sz w:val="22"/>
                <w:szCs w:val="18"/>
                <w:lang w:val="ru-RU"/>
              </w:rPr>
              <w:t>282,21</w:t>
            </w:r>
          </w:p>
        </w:tc>
        <w:tc>
          <w:tcPr>
            <w:tcW w:w="0" w:type="auto"/>
            <w:vAlign w:val="center"/>
            <w:hideMark/>
          </w:tcPr>
          <w:p w14:paraId="4843B9B8" w14:textId="77777777" w:rsidR="00A00237" w:rsidRPr="00A00237" w:rsidRDefault="00A00237" w:rsidP="00985072">
            <w:pPr>
              <w:spacing w:line="276" w:lineRule="auto"/>
              <w:jc w:val="center"/>
              <w:rPr>
                <w:sz w:val="22"/>
                <w:szCs w:val="18"/>
                <w:lang w:val="ru-RU"/>
              </w:rPr>
            </w:pPr>
            <w:r w:rsidRPr="00A00237">
              <w:rPr>
                <w:sz w:val="22"/>
                <w:szCs w:val="18"/>
                <w:lang w:val="ru-RU"/>
              </w:rPr>
              <w:t>106,99</w:t>
            </w:r>
          </w:p>
        </w:tc>
      </w:tr>
      <w:tr w:rsidR="00A00237" w:rsidRPr="00A00237" w14:paraId="68B7702F" w14:textId="77777777" w:rsidTr="00A00237">
        <w:tc>
          <w:tcPr>
            <w:tcW w:w="987" w:type="dxa"/>
            <w:vAlign w:val="center"/>
            <w:hideMark/>
          </w:tcPr>
          <w:p w14:paraId="3E295687" w14:textId="09E124F4" w:rsidR="00A00237" w:rsidRPr="00A00237" w:rsidRDefault="00A00237" w:rsidP="00985072">
            <w:pPr>
              <w:spacing w:line="276" w:lineRule="auto"/>
              <w:jc w:val="center"/>
              <w:rPr>
                <w:sz w:val="22"/>
                <w:szCs w:val="18"/>
                <w:lang w:val="ru-RU"/>
              </w:rPr>
            </w:pPr>
            <w:r w:rsidRPr="00A00237">
              <w:rPr>
                <w:sz w:val="22"/>
                <w:szCs w:val="18"/>
                <w:lang w:val="ru-RU"/>
              </w:rPr>
              <w:t>2014</w:t>
            </w:r>
            <w:r>
              <w:rPr>
                <w:sz w:val="22"/>
                <w:szCs w:val="18"/>
              </w:rPr>
              <w:t>-</w:t>
            </w:r>
            <w:r w:rsidRPr="00A00237">
              <w:rPr>
                <w:sz w:val="22"/>
                <w:szCs w:val="18"/>
                <w:lang w:val="ru-RU"/>
              </w:rPr>
              <w:t>15</w:t>
            </w:r>
          </w:p>
        </w:tc>
        <w:tc>
          <w:tcPr>
            <w:tcW w:w="970" w:type="dxa"/>
            <w:vAlign w:val="center"/>
            <w:hideMark/>
          </w:tcPr>
          <w:p w14:paraId="52E95D4C" w14:textId="77777777" w:rsidR="00A00237" w:rsidRPr="00A00237" w:rsidRDefault="00A00237" w:rsidP="00985072">
            <w:pPr>
              <w:spacing w:line="276" w:lineRule="auto"/>
              <w:jc w:val="center"/>
              <w:rPr>
                <w:sz w:val="22"/>
                <w:szCs w:val="18"/>
                <w:lang w:val="ru-RU"/>
              </w:rPr>
            </w:pPr>
            <w:r w:rsidRPr="00A00237">
              <w:rPr>
                <w:sz w:val="22"/>
                <w:szCs w:val="18"/>
                <w:lang w:val="ru-RU"/>
              </w:rPr>
              <w:t>15 609</w:t>
            </w:r>
          </w:p>
        </w:tc>
        <w:tc>
          <w:tcPr>
            <w:tcW w:w="0" w:type="auto"/>
            <w:vAlign w:val="center"/>
            <w:hideMark/>
          </w:tcPr>
          <w:p w14:paraId="5DAD07CC" w14:textId="77777777" w:rsidR="00A00237" w:rsidRPr="00A00237" w:rsidRDefault="00A00237" w:rsidP="00985072">
            <w:pPr>
              <w:spacing w:line="276" w:lineRule="auto"/>
              <w:jc w:val="center"/>
              <w:rPr>
                <w:sz w:val="22"/>
                <w:szCs w:val="18"/>
                <w:lang w:val="ru-RU"/>
              </w:rPr>
            </w:pPr>
            <w:r w:rsidRPr="00A00237">
              <w:rPr>
                <w:sz w:val="22"/>
                <w:szCs w:val="18"/>
                <w:lang w:val="ru-RU"/>
              </w:rPr>
              <w:t>110 781</w:t>
            </w:r>
          </w:p>
        </w:tc>
        <w:tc>
          <w:tcPr>
            <w:tcW w:w="0" w:type="auto"/>
            <w:vAlign w:val="center"/>
            <w:hideMark/>
          </w:tcPr>
          <w:p w14:paraId="5210F91F" w14:textId="77777777" w:rsidR="00A00237" w:rsidRPr="00A00237" w:rsidRDefault="00A00237" w:rsidP="00985072">
            <w:pPr>
              <w:spacing w:line="276" w:lineRule="auto"/>
              <w:jc w:val="center"/>
              <w:rPr>
                <w:sz w:val="22"/>
                <w:szCs w:val="18"/>
                <w:lang w:val="ru-RU"/>
              </w:rPr>
            </w:pPr>
            <w:r w:rsidRPr="00A00237">
              <w:rPr>
                <w:sz w:val="22"/>
                <w:szCs w:val="18"/>
                <w:lang w:val="ru-RU"/>
              </w:rPr>
              <w:t>26,0</w:t>
            </w:r>
          </w:p>
        </w:tc>
        <w:tc>
          <w:tcPr>
            <w:tcW w:w="1189" w:type="dxa"/>
            <w:vAlign w:val="center"/>
            <w:hideMark/>
          </w:tcPr>
          <w:p w14:paraId="7031F632" w14:textId="77777777" w:rsidR="00A00237" w:rsidRPr="00A00237" w:rsidRDefault="00A00237" w:rsidP="00985072">
            <w:pPr>
              <w:spacing w:line="276" w:lineRule="auto"/>
              <w:jc w:val="center"/>
              <w:rPr>
                <w:sz w:val="22"/>
                <w:szCs w:val="18"/>
                <w:lang w:val="ru-RU"/>
              </w:rPr>
            </w:pPr>
            <w:r w:rsidRPr="00A00237">
              <w:rPr>
                <w:sz w:val="22"/>
                <w:szCs w:val="18"/>
                <w:lang w:val="ru-RU"/>
              </w:rPr>
              <w:t>20,35</w:t>
            </w:r>
          </w:p>
        </w:tc>
        <w:tc>
          <w:tcPr>
            <w:tcW w:w="1417" w:type="dxa"/>
            <w:vAlign w:val="center"/>
            <w:hideMark/>
          </w:tcPr>
          <w:p w14:paraId="47BED77F" w14:textId="77777777" w:rsidR="00A00237" w:rsidRPr="00A00237" w:rsidRDefault="00A00237" w:rsidP="00985072">
            <w:pPr>
              <w:spacing w:line="276" w:lineRule="auto"/>
              <w:jc w:val="center"/>
              <w:rPr>
                <w:sz w:val="22"/>
                <w:szCs w:val="18"/>
                <w:lang w:val="ru-RU"/>
              </w:rPr>
            </w:pPr>
            <w:r w:rsidRPr="00A00237">
              <w:rPr>
                <w:sz w:val="22"/>
                <w:szCs w:val="18"/>
                <w:lang w:val="ru-RU"/>
              </w:rPr>
              <w:t>633,35</w:t>
            </w:r>
          </w:p>
        </w:tc>
        <w:tc>
          <w:tcPr>
            <w:tcW w:w="1394" w:type="dxa"/>
            <w:vAlign w:val="center"/>
            <w:hideMark/>
          </w:tcPr>
          <w:p w14:paraId="7F5DFC5F" w14:textId="77777777" w:rsidR="00A00237" w:rsidRPr="00A00237" w:rsidRDefault="00A00237" w:rsidP="00985072">
            <w:pPr>
              <w:spacing w:line="276" w:lineRule="auto"/>
              <w:jc w:val="center"/>
              <w:rPr>
                <w:sz w:val="22"/>
                <w:szCs w:val="18"/>
                <w:lang w:val="ru-RU"/>
              </w:rPr>
            </w:pPr>
            <w:r w:rsidRPr="00A00237">
              <w:rPr>
                <w:sz w:val="22"/>
                <w:szCs w:val="18"/>
                <w:lang w:val="ru-RU"/>
              </w:rPr>
              <w:t>352,41</w:t>
            </w:r>
          </w:p>
        </w:tc>
        <w:tc>
          <w:tcPr>
            <w:tcW w:w="0" w:type="auto"/>
            <w:vAlign w:val="center"/>
            <w:hideMark/>
          </w:tcPr>
          <w:p w14:paraId="53A7D587" w14:textId="77777777" w:rsidR="00A00237" w:rsidRPr="00A00237" w:rsidRDefault="00A00237" w:rsidP="00985072">
            <w:pPr>
              <w:spacing w:line="276" w:lineRule="auto"/>
              <w:jc w:val="center"/>
              <w:rPr>
                <w:sz w:val="22"/>
                <w:szCs w:val="18"/>
                <w:lang w:val="ru-RU"/>
              </w:rPr>
            </w:pPr>
            <w:r w:rsidRPr="00A00237">
              <w:rPr>
                <w:sz w:val="22"/>
                <w:szCs w:val="18"/>
                <w:lang w:val="ru-RU"/>
              </w:rPr>
              <w:t>135,41</w:t>
            </w:r>
          </w:p>
        </w:tc>
      </w:tr>
      <w:tr w:rsidR="00A00237" w:rsidRPr="00A00237" w14:paraId="6B473743" w14:textId="77777777" w:rsidTr="00A00237">
        <w:tc>
          <w:tcPr>
            <w:tcW w:w="987" w:type="dxa"/>
            <w:vAlign w:val="center"/>
            <w:hideMark/>
          </w:tcPr>
          <w:p w14:paraId="6057BA9A" w14:textId="231D34EA" w:rsidR="00A00237" w:rsidRPr="00A00237" w:rsidRDefault="00A00237" w:rsidP="00985072">
            <w:pPr>
              <w:spacing w:line="276" w:lineRule="auto"/>
              <w:jc w:val="center"/>
              <w:rPr>
                <w:sz w:val="22"/>
                <w:szCs w:val="18"/>
                <w:lang w:val="ru-RU"/>
              </w:rPr>
            </w:pPr>
            <w:r w:rsidRPr="00A00237">
              <w:rPr>
                <w:sz w:val="22"/>
                <w:szCs w:val="18"/>
                <w:lang w:val="ru-RU"/>
              </w:rPr>
              <w:t>2015</w:t>
            </w:r>
            <w:r>
              <w:rPr>
                <w:sz w:val="22"/>
                <w:szCs w:val="18"/>
              </w:rPr>
              <w:t>-</w:t>
            </w:r>
            <w:r w:rsidRPr="00A00237">
              <w:rPr>
                <w:sz w:val="22"/>
                <w:szCs w:val="18"/>
                <w:lang w:val="ru-RU"/>
              </w:rPr>
              <w:t>16</w:t>
            </w:r>
          </w:p>
        </w:tc>
        <w:tc>
          <w:tcPr>
            <w:tcW w:w="970" w:type="dxa"/>
            <w:vAlign w:val="center"/>
            <w:hideMark/>
          </w:tcPr>
          <w:p w14:paraId="209E85A2" w14:textId="77777777" w:rsidR="00A00237" w:rsidRPr="00A00237" w:rsidRDefault="00A00237" w:rsidP="00985072">
            <w:pPr>
              <w:spacing w:line="276" w:lineRule="auto"/>
              <w:jc w:val="center"/>
              <w:rPr>
                <w:sz w:val="22"/>
                <w:szCs w:val="18"/>
                <w:lang w:val="ru-RU"/>
              </w:rPr>
            </w:pPr>
            <w:r w:rsidRPr="00A00237">
              <w:rPr>
                <w:sz w:val="22"/>
                <w:szCs w:val="18"/>
                <w:lang w:val="ru-RU"/>
              </w:rPr>
              <w:t>16 204</w:t>
            </w:r>
          </w:p>
        </w:tc>
        <w:tc>
          <w:tcPr>
            <w:tcW w:w="0" w:type="auto"/>
            <w:vAlign w:val="center"/>
            <w:hideMark/>
          </w:tcPr>
          <w:p w14:paraId="7C79499A" w14:textId="77777777" w:rsidR="00A00237" w:rsidRPr="00A00237" w:rsidRDefault="00A00237" w:rsidP="00985072">
            <w:pPr>
              <w:spacing w:line="276" w:lineRule="auto"/>
              <w:jc w:val="center"/>
              <w:rPr>
                <w:sz w:val="22"/>
                <w:szCs w:val="18"/>
                <w:lang w:val="ru-RU"/>
              </w:rPr>
            </w:pPr>
            <w:r w:rsidRPr="00A00237">
              <w:rPr>
                <w:sz w:val="22"/>
                <w:szCs w:val="18"/>
                <w:lang w:val="ru-RU"/>
              </w:rPr>
              <w:t>122 335</w:t>
            </w:r>
          </w:p>
        </w:tc>
        <w:tc>
          <w:tcPr>
            <w:tcW w:w="0" w:type="auto"/>
            <w:vAlign w:val="center"/>
            <w:hideMark/>
          </w:tcPr>
          <w:p w14:paraId="54098A29" w14:textId="77777777" w:rsidR="00A00237" w:rsidRPr="00A00237" w:rsidRDefault="00A00237" w:rsidP="00985072">
            <w:pPr>
              <w:spacing w:line="276" w:lineRule="auto"/>
              <w:jc w:val="center"/>
              <w:rPr>
                <w:sz w:val="22"/>
                <w:szCs w:val="18"/>
                <w:lang w:val="ru-RU"/>
              </w:rPr>
            </w:pPr>
            <w:r w:rsidRPr="00A00237">
              <w:rPr>
                <w:sz w:val="22"/>
                <w:szCs w:val="18"/>
                <w:lang w:val="ru-RU"/>
              </w:rPr>
              <w:t>27,1</w:t>
            </w:r>
          </w:p>
        </w:tc>
        <w:tc>
          <w:tcPr>
            <w:tcW w:w="1189" w:type="dxa"/>
            <w:vAlign w:val="center"/>
            <w:hideMark/>
          </w:tcPr>
          <w:p w14:paraId="0D06326C" w14:textId="77777777" w:rsidR="00A00237" w:rsidRPr="00A00237" w:rsidRDefault="00A00237" w:rsidP="00985072">
            <w:pPr>
              <w:spacing w:line="276" w:lineRule="auto"/>
              <w:jc w:val="center"/>
              <w:rPr>
                <w:sz w:val="22"/>
                <w:szCs w:val="18"/>
                <w:lang w:val="ru-RU"/>
              </w:rPr>
            </w:pPr>
            <w:r w:rsidRPr="00A00237">
              <w:rPr>
                <w:sz w:val="22"/>
                <w:szCs w:val="18"/>
                <w:lang w:val="ru-RU"/>
              </w:rPr>
              <w:t>22,8</w:t>
            </w:r>
          </w:p>
        </w:tc>
        <w:tc>
          <w:tcPr>
            <w:tcW w:w="1417" w:type="dxa"/>
            <w:vAlign w:val="center"/>
            <w:hideMark/>
          </w:tcPr>
          <w:p w14:paraId="41C8FF73" w14:textId="77777777" w:rsidR="00A00237" w:rsidRPr="00A00237" w:rsidRDefault="00A00237" w:rsidP="00985072">
            <w:pPr>
              <w:spacing w:line="276" w:lineRule="auto"/>
              <w:jc w:val="center"/>
              <w:rPr>
                <w:sz w:val="22"/>
                <w:szCs w:val="18"/>
                <w:lang w:val="ru-RU"/>
              </w:rPr>
            </w:pPr>
            <w:r w:rsidRPr="00A00237">
              <w:rPr>
                <w:sz w:val="22"/>
                <w:szCs w:val="18"/>
                <w:lang w:val="ru-RU"/>
              </w:rPr>
              <w:t>776,0</w:t>
            </w:r>
          </w:p>
        </w:tc>
        <w:tc>
          <w:tcPr>
            <w:tcW w:w="1394" w:type="dxa"/>
            <w:vAlign w:val="center"/>
            <w:hideMark/>
          </w:tcPr>
          <w:p w14:paraId="56FCAAAE" w14:textId="77777777" w:rsidR="00A00237" w:rsidRPr="00A00237" w:rsidRDefault="00A00237" w:rsidP="00985072">
            <w:pPr>
              <w:spacing w:line="276" w:lineRule="auto"/>
              <w:jc w:val="center"/>
              <w:rPr>
                <w:sz w:val="22"/>
                <w:szCs w:val="18"/>
                <w:lang w:val="ru-RU"/>
              </w:rPr>
            </w:pPr>
            <w:r w:rsidRPr="00A00237">
              <w:rPr>
                <w:sz w:val="22"/>
                <w:szCs w:val="18"/>
                <w:lang w:val="ru-RU"/>
              </w:rPr>
              <w:t>448,1</w:t>
            </w:r>
          </w:p>
        </w:tc>
        <w:tc>
          <w:tcPr>
            <w:tcW w:w="0" w:type="auto"/>
            <w:vAlign w:val="center"/>
            <w:hideMark/>
          </w:tcPr>
          <w:p w14:paraId="362CAF20" w14:textId="77777777" w:rsidR="00A00237" w:rsidRPr="00A00237" w:rsidRDefault="00A00237" w:rsidP="00985072">
            <w:pPr>
              <w:spacing w:line="276" w:lineRule="auto"/>
              <w:jc w:val="center"/>
              <w:rPr>
                <w:sz w:val="22"/>
                <w:szCs w:val="18"/>
                <w:lang w:val="ru-RU"/>
              </w:rPr>
            </w:pPr>
            <w:r w:rsidRPr="00A00237">
              <w:rPr>
                <w:sz w:val="22"/>
                <w:szCs w:val="18"/>
                <w:lang w:val="ru-RU"/>
              </w:rPr>
              <w:t>169,04</w:t>
            </w:r>
          </w:p>
        </w:tc>
      </w:tr>
      <w:tr w:rsidR="00A00237" w:rsidRPr="00A00237" w14:paraId="7DCBF863" w14:textId="77777777" w:rsidTr="00A00237">
        <w:tc>
          <w:tcPr>
            <w:tcW w:w="987" w:type="dxa"/>
            <w:vAlign w:val="center"/>
            <w:hideMark/>
          </w:tcPr>
          <w:p w14:paraId="262000F9" w14:textId="03AF0303" w:rsidR="00A00237" w:rsidRPr="00A00237" w:rsidRDefault="00A00237" w:rsidP="00985072">
            <w:pPr>
              <w:spacing w:line="276" w:lineRule="auto"/>
              <w:jc w:val="center"/>
              <w:rPr>
                <w:sz w:val="22"/>
                <w:szCs w:val="18"/>
                <w:lang w:val="ru-RU"/>
              </w:rPr>
            </w:pPr>
            <w:r w:rsidRPr="00A00237">
              <w:rPr>
                <w:sz w:val="22"/>
                <w:szCs w:val="18"/>
                <w:lang w:val="ru-RU"/>
              </w:rPr>
              <w:t>2016</w:t>
            </w:r>
            <w:r>
              <w:rPr>
                <w:sz w:val="22"/>
                <w:szCs w:val="18"/>
              </w:rPr>
              <w:t>-</w:t>
            </w:r>
            <w:r w:rsidRPr="00A00237">
              <w:rPr>
                <w:sz w:val="22"/>
                <w:szCs w:val="18"/>
                <w:lang w:val="ru-RU"/>
              </w:rPr>
              <w:t>17</w:t>
            </w:r>
          </w:p>
        </w:tc>
        <w:tc>
          <w:tcPr>
            <w:tcW w:w="970" w:type="dxa"/>
            <w:vAlign w:val="center"/>
            <w:hideMark/>
          </w:tcPr>
          <w:p w14:paraId="34D21F35" w14:textId="77777777" w:rsidR="00A00237" w:rsidRPr="00A00237" w:rsidRDefault="00A00237" w:rsidP="00985072">
            <w:pPr>
              <w:spacing w:line="276" w:lineRule="auto"/>
              <w:jc w:val="center"/>
              <w:rPr>
                <w:sz w:val="22"/>
                <w:szCs w:val="18"/>
                <w:lang w:val="ru-RU"/>
              </w:rPr>
            </w:pPr>
            <w:r w:rsidRPr="00A00237">
              <w:rPr>
                <w:sz w:val="22"/>
                <w:szCs w:val="18"/>
                <w:lang w:val="ru-RU"/>
              </w:rPr>
              <w:t>17 081</w:t>
            </w:r>
          </w:p>
        </w:tc>
        <w:tc>
          <w:tcPr>
            <w:tcW w:w="0" w:type="auto"/>
            <w:vAlign w:val="center"/>
            <w:hideMark/>
          </w:tcPr>
          <w:p w14:paraId="7C040A6B" w14:textId="77777777" w:rsidR="00A00237" w:rsidRPr="00A00237" w:rsidRDefault="00A00237" w:rsidP="00985072">
            <w:pPr>
              <w:spacing w:line="276" w:lineRule="auto"/>
              <w:jc w:val="center"/>
              <w:rPr>
                <w:sz w:val="22"/>
                <w:szCs w:val="18"/>
                <w:lang w:val="ru-RU"/>
              </w:rPr>
            </w:pPr>
            <w:r w:rsidRPr="00A00237">
              <w:rPr>
                <w:sz w:val="22"/>
                <w:szCs w:val="18"/>
                <w:lang w:val="ru-RU"/>
              </w:rPr>
              <w:t>137 607</w:t>
            </w:r>
          </w:p>
        </w:tc>
        <w:tc>
          <w:tcPr>
            <w:tcW w:w="0" w:type="auto"/>
            <w:vAlign w:val="center"/>
            <w:hideMark/>
          </w:tcPr>
          <w:p w14:paraId="4210A6BA" w14:textId="77777777" w:rsidR="00A00237" w:rsidRPr="00A00237" w:rsidRDefault="00A00237" w:rsidP="00985072">
            <w:pPr>
              <w:spacing w:line="276" w:lineRule="auto"/>
              <w:jc w:val="center"/>
              <w:rPr>
                <w:sz w:val="22"/>
                <w:szCs w:val="18"/>
                <w:lang w:val="ru-RU"/>
              </w:rPr>
            </w:pPr>
            <w:r w:rsidRPr="00A00237">
              <w:rPr>
                <w:sz w:val="22"/>
                <w:szCs w:val="18"/>
                <w:lang w:val="ru-RU"/>
              </w:rPr>
              <w:t>29,75</w:t>
            </w:r>
          </w:p>
        </w:tc>
        <w:tc>
          <w:tcPr>
            <w:tcW w:w="1189" w:type="dxa"/>
            <w:vAlign w:val="center"/>
            <w:hideMark/>
          </w:tcPr>
          <w:p w14:paraId="13D91127" w14:textId="77777777" w:rsidR="00A00237" w:rsidRPr="00A00237" w:rsidRDefault="00A00237" w:rsidP="00985072">
            <w:pPr>
              <w:spacing w:line="276" w:lineRule="auto"/>
              <w:jc w:val="center"/>
              <w:rPr>
                <w:sz w:val="22"/>
                <w:szCs w:val="18"/>
                <w:lang w:val="ru-RU"/>
              </w:rPr>
            </w:pPr>
            <w:r w:rsidRPr="00A00237">
              <w:rPr>
                <w:sz w:val="22"/>
                <w:szCs w:val="18"/>
                <w:lang w:val="ru-RU"/>
              </w:rPr>
              <w:t>24,72</w:t>
            </w:r>
          </w:p>
        </w:tc>
        <w:tc>
          <w:tcPr>
            <w:tcW w:w="1417" w:type="dxa"/>
            <w:vAlign w:val="center"/>
            <w:hideMark/>
          </w:tcPr>
          <w:p w14:paraId="0973C802" w14:textId="77777777" w:rsidR="00A00237" w:rsidRPr="00A00237" w:rsidRDefault="00A00237" w:rsidP="00985072">
            <w:pPr>
              <w:spacing w:line="276" w:lineRule="auto"/>
              <w:jc w:val="center"/>
              <w:rPr>
                <w:sz w:val="22"/>
                <w:szCs w:val="18"/>
                <w:lang w:val="ru-RU"/>
              </w:rPr>
            </w:pPr>
            <w:r w:rsidRPr="00A00237">
              <w:rPr>
                <w:sz w:val="22"/>
                <w:szCs w:val="18"/>
                <w:lang w:val="ru-RU"/>
              </w:rPr>
              <w:t>1 046,12</w:t>
            </w:r>
          </w:p>
        </w:tc>
        <w:tc>
          <w:tcPr>
            <w:tcW w:w="1394" w:type="dxa"/>
            <w:vAlign w:val="center"/>
            <w:hideMark/>
          </w:tcPr>
          <w:p w14:paraId="39CCA91A" w14:textId="77777777" w:rsidR="00A00237" w:rsidRPr="00A00237" w:rsidRDefault="00A00237" w:rsidP="00985072">
            <w:pPr>
              <w:spacing w:line="276" w:lineRule="auto"/>
              <w:jc w:val="center"/>
              <w:rPr>
                <w:sz w:val="22"/>
                <w:szCs w:val="18"/>
                <w:lang w:val="ru-RU"/>
              </w:rPr>
            </w:pPr>
            <w:r w:rsidRPr="00A00237">
              <w:rPr>
                <w:sz w:val="22"/>
                <w:szCs w:val="18"/>
                <w:lang w:val="ru-RU"/>
              </w:rPr>
              <w:t>570,62</w:t>
            </w:r>
          </w:p>
        </w:tc>
        <w:tc>
          <w:tcPr>
            <w:tcW w:w="0" w:type="auto"/>
            <w:vAlign w:val="center"/>
            <w:hideMark/>
          </w:tcPr>
          <w:p w14:paraId="7B802302" w14:textId="77777777" w:rsidR="00A00237" w:rsidRPr="00A00237" w:rsidRDefault="00A00237" w:rsidP="00985072">
            <w:pPr>
              <w:spacing w:line="276" w:lineRule="auto"/>
              <w:jc w:val="center"/>
              <w:rPr>
                <w:sz w:val="22"/>
                <w:szCs w:val="18"/>
                <w:lang w:val="ru-RU"/>
              </w:rPr>
            </w:pPr>
            <w:r w:rsidRPr="00A00237">
              <w:rPr>
                <w:sz w:val="22"/>
                <w:szCs w:val="18"/>
                <w:lang w:val="ru-RU"/>
              </w:rPr>
              <w:t>217,93</w:t>
            </w:r>
          </w:p>
        </w:tc>
      </w:tr>
      <w:tr w:rsidR="00A00237" w:rsidRPr="00A00237" w14:paraId="29FF2165" w14:textId="77777777" w:rsidTr="00A00237">
        <w:tc>
          <w:tcPr>
            <w:tcW w:w="987" w:type="dxa"/>
            <w:vAlign w:val="center"/>
            <w:hideMark/>
          </w:tcPr>
          <w:p w14:paraId="1504E720" w14:textId="37564A8F" w:rsidR="00A00237" w:rsidRPr="00A00237" w:rsidRDefault="00A00237" w:rsidP="00985072">
            <w:pPr>
              <w:spacing w:line="276" w:lineRule="auto"/>
              <w:jc w:val="center"/>
              <w:rPr>
                <w:sz w:val="22"/>
                <w:szCs w:val="18"/>
                <w:lang w:val="ru-RU"/>
              </w:rPr>
            </w:pPr>
            <w:r w:rsidRPr="00A00237">
              <w:rPr>
                <w:sz w:val="22"/>
                <w:szCs w:val="18"/>
                <w:lang w:val="ru-RU"/>
              </w:rPr>
              <w:t>2017</w:t>
            </w:r>
            <w:r>
              <w:rPr>
                <w:sz w:val="22"/>
                <w:szCs w:val="18"/>
              </w:rPr>
              <w:t>-</w:t>
            </w:r>
            <w:r w:rsidRPr="00A00237">
              <w:rPr>
                <w:sz w:val="22"/>
                <w:szCs w:val="18"/>
                <w:lang w:val="ru-RU"/>
              </w:rPr>
              <w:t>18</w:t>
            </w:r>
          </w:p>
        </w:tc>
        <w:tc>
          <w:tcPr>
            <w:tcW w:w="970" w:type="dxa"/>
            <w:vAlign w:val="center"/>
            <w:hideMark/>
          </w:tcPr>
          <w:p w14:paraId="78238585" w14:textId="77777777" w:rsidR="00A00237" w:rsidRPr="00A00237" w:rsidRDefault="00A00237" w:rsidP="00985072">
            <w:pPr>
              <w:spacing w:line="276" w:lineRule="auto"/>
              <w:jc w:val="center"/>
              <w:rPr>
                <w:sz w:val="22"/>
                <w:szCs w:val="18"/>
                <w:lang w:val="ru-RU"/>
              </w:rPr>
            </w:pPr>
            <w:r w:rsidRPr="00A00237">
              <w:rPr>
                <w:sz w:val="22"/>
                <w:szCs w:val="18"/>
                <w:lang w:val="ru-RU"/>
              </w:rPr>
              <w:t>18 196</w:t>
            </w:r>
          </w:p>
        </w:tc>
        <w:tc>
          <w:tcPr>
            <w:tcW w:w="0" w:type="auto"/>
            <w:vAlign w:val="center"/>
            <w:hideMark/>
          </w:tcPr>
          <w:p w14:paraId="05C649CA" w14:textId="77777777" w:rsidR="00A00237" w:rsidRPr="00A00237" w:rsidRDefault="00A00237" w:rsidP="00985072">
            <w:pPr>
              <w:spacing w:line="276" w:lineRule="auto"/>
              <w:jc w:val="center"/>
              <w:rPr>
                <w:sz w:val="22"/>
                <w:szCs w:val="18"/>
                <w:lang w:val="ru-RU"/>
              </w:rPr>
            </w:pPr>
            <w:r w:rsidRPr="00A00237">
              <w:rPr>
                <w:sz w:val="22"/>
                <w:szCs w:val="18"/>
                <w:lang w:val="ru-RU"/>
              </w:rPr>
              <w:t>153 919</w:t>
            </w:r>
          </w:p>
        </w:tc>
        <w:tc>
          <w:tcPr>
            <w:tcW w:w="0" w:type="auto"/>
            <w:vAlign w:val="center"/>
            <w:hideMark/>
          </w:tcPr>
          <w:p w14:paraId="23097146" w14:textId="77777777" w:rsidR="00A00237" w:rsidRPr="00A00237" w:rsidRDefault="00A00237" w:rsidP="00985072">
            <w:pPr>
              <w:spacing w:line="276" w:lineRule="auto"/>
              <w:jc w:val="center"/>
              <w:rPr>
                <w:sz w:val="22"/>
                <w:szCs w:val="18"/>
                <w:lang w:val="ru-RU"/>
              </w:rPr>
            </w:pPr>
            <w:r w:rsidRPr="00A00237">
              <w:rPr>
                <w:sz w:val="22"/>
                <w:szCs w:val="18"/>
                <w:lang w:val="ru-RU"/>
              </w:rPr>
              <w:t>31,2</w:t>
            </w:r>
          </w:p>
        </w:tc>
        <w:tc>
          <w:tcPr>
            <w:tcW w:w="1189" w:type="dxa"/>
            <w:vAlign w:val="center"/>
            <w:hideMark/>
          </w:tcPr>
          <w:p w14:paraId="3C4B4852" w14:textId="77777777" w:rsidR="00A00237" w:rsidRPr="00A00237" w:rsidRDefault="00A00237" w:rsidP="00985072">
            <w:pPr>
              <w:spacing w:line="276" w:lineRule="auto"/>
              <w:jc w:val="center"/>
              <w:rPr>
                <w:sz w:val="22"/>
                <w:szCs w:val="18"/>
                <w:lang w:val="ru-RU"/>
              </w:rPr>
            </w:pPr>
            <w:r w:rsidRPr="00A00237">
              <w:rPr>
                <w:sz w:val="22"/>
                <w:szCs w:val="18"/>
                <w:lang w:val="ru-RU"/>
              </w:rPr>
              <w:t>25,39</w:t>
            </w:r>
          </w:p>
        </w:tc>
        <w:tc>
          <w:tcPr>
            <w:tcW w:w="1417" w:type="dxa"/>
            <w:vAlign w:val="center"/>
            <w:hideMark/>
          </w:tcPr>
          <w:p w14:paraId="2F224CFA" w14:textId="77777777" w:rsidR="00A00237" w:rsidRPr="00A00237" w:rsidRDefault="00A00237" w:rsidP="00985072">
            <w:pPr>
              <w:spacing w:line="276" w:lineRule="auto"/>
              <w:jc w:val="center"/>
              <w:rPr>
                <w:sz w:val="22"/>
                <w:szCs w:val="18"/>
                <w:lang w:val="ru-RU"/>
              </w:rPr>
            </w:pPr>
            <w:r w:rsidRPr="00A00237">
              <w:rPr>
                <w:sz w:val="22"/>
                <w:szCs w:val="18"/>
                <w:lang w:val="ru-RU"/>
              </w:rPr>
              <w:t>1 202,0</w:t>
            </w:r>
          </w:p>
        </w:tc>
        <w:tc>
          <w:tcPr>
            <w:tcW w:w="1394" w:type="dxa"/>
            <w:vAlign w:val="center"/>
            <w:hideMark/>
          </w:tcPr>
          <w:p w14:paraId="51EFEED5" w14:textId="77777777" w:rsidR="00A00237" w:rsidRPr="00A00237" w:rsidRDefault="00A00237" w:rsidP="00985072">
            <w:pPr>
              <w:spacing w:line="276" w:lineRule="auto"/>
              <w:jc w:val="center"/>
              <w:rPr>
                <w:sz w:val="22"/>
                <w:szCs w:val="18"/>
                <w:lang w:val="ru-RU"/>
              </w:rPr>
            </w:pPr>
            <w:r w:rsidRPr="00A00237">
              <w:rPr>
                <w:sz w:val="22"/>
                <w:szCs w:val="18"/>
                <w:lang w:val="ru-RU"/>
              </w:rPr>
              <w:t>675,05</w:t>
            </w:r>
          </w:p>
        </w:tc>
        <w:tc>
          <w:tcPr>
            <w:tcW w:w="0" w:type="auto"/>
            <w:vAlign w:val="center"/>
            <w:hideMark/>
          </w:tcPr>
          <w:p w14:paraId="7CAA3D50" w14:textId="77777777" w:rsidR="00A00237" w:rsidRPr="00A00237" w:rsidRDefault="00A00237" w:rsidP="00985072">
            <w:pPr>
              <w:spacing w:line="276" w:lineRule="auto"/>
              <w:jc w:val="center"/>
              <w:rPr>
                <w:sz w:val="22"/>
                <w:szCs w:val="18"/>
                <w:lang w:val="ru-RU"/>
              </w:rPr>
            </w:pPr>
            <w:r w:rsidRPr="00A00237">
              <w:rPr>
                <w:sz w:val="22"/>
                <w:szCs w:val="18"/>
                <w:lang w:val="ru-RU"/>
              </w:rPr>
              <w:t>263,04</w:t>
            </w:r>
          </w:p>
        </w:tc>
      </w:tr>
      <w:tr w:rsidR="00A00237" w:rsidRPr="00A00237" w14:paraId="40462485" w14:textId="77777777" w:rsidTr="00A00237">
        <w:tc>
          <w:tcPr>
            <w:tcW w:w="987" w:type="dxa"/>
            <w:vAlign w:val="center"/>
            <w:hideMark/>
          </w:tcPr>
          <w:p w14:paraId="3BB0F8EE" w14:textId="684C15EB" w:rsidR="00A00237" w:rsidRPr="00A00237" w:rsidRDefault="00A00237" w:rsidP="00985072">
            <w:pPr>
              <w:spacing w:line="276" w:lineRule="auto"/>
              <w:jc w:val="center"/>
              <w:rPr>
                <w:sz w:val="22"/>
                <w:szCs w:val="18"/>
                <w:lang w:val="ru-RU"/>
              </w:rPr>
            </w:pPr>
            <w:r w:rsidRPr="00A00237">
              <w:rPr>
                <w:sz w:val="22"/>
                <w:szCs w:val="18"/>
                <w:lang w:val="ru-RU"/>
              </w:rPr>
              <w:t>2018</w:t>
            </w:r>
            <w:r>
              <w:rPr>
                <w:sz w:val="22"/>
                <w:szCs w:val="18"/>
              </w:rPr>
              <w:t>-</w:t>
            </w:r>
            <w:r w:rsidRPr="00A00237">
              <w:rPr>
                <w:sz w:val="22"/>
                <w:szCs w:val="18"/>
                <w:lang w:val="ru-RU"/>
              </w:rPr>
              <w:t>19</w:t>
            </w:r>
          </w:p>
        </w:tc>
        <w:tc>
          <w:tcPr>
            <w:tcW w:w="970" w:type="dxa"/>
            <w:vAlign w:val="center"/>
            <w:hideMark/>
          </w:tcPr>
          <w:p w14:paraId="0F4AA91E" w14:textId="77777777" w:rsidR="00A00237" w:rsidRPr="00A00237" w:rsidRDefault="00A00237" w:rsidP="00985072">
            <w:pPr>
              <w:spacing w:line="276" w:lineRule="auto"/>
              <w:jc w:val="center"/>
              <w:rPr>
                <w:sz w:val="22"/>
                <w:szCs w:val="18"/>
                <w:lang w:val="ru-RU"/>
              </w:rPr>
            </w:pPr>
            <w:r w:rsidRPr="00A00237">
              <w:rPr>
                <w:sz w:val="22"/>
                <w:szCs w:val="18"/>
                <w:lang w:val="ru-RU"/>
              </w:rPr>
              <w:t>18 825</w:t>
            </w:r>
          </w:p>
        </w:tc>
        <w:tc>
          <w:tcPr>
            <w:tcW w:w="0" w:type="auto"/>
            <w:vAlign w:val="center"/>
            <w:hideMark/>
          </w:tcPr>
          <w:p w14:paraId="3E469188" w14:textId="77777777" w:rsidR="00A00237" w:rsidRPr="00A00237" w:rsidRDefault="00A00237" w:rsidP="00985072">
            <w:pPr>
              <w:spacing w:line="276" w:lineRule="auto"/>
              <w:jc w:val="center"/>
              <w:rPr>
                <w:sz w:val="22"/>
                <w:szCs w:val="18"/>
                <w:lang w:val="ru-RU"/>
              </w:rPr>
            </w:pPr>
            <w:r w:rsidRPr="00A00237">
              <w:rPr>
                <w:sz w:val="22"/>
                <w:szCs w:val="18"/>
                <w:lang w:val="ru-RU"/>
              </w:rPr>
              <w:t>159 965</w:t>
            </w:r>
          </w:p>
        </w:tc>
        <w:tc>
          <w:tcPr>
            <w:tcW w:w="0" w:type="auto"/>
            <w:vAlign w:val="center"/>
            <w:hideMark/>
          </w:tcPr>
          <w:p w14:paraId="3449D9A3" w14:textId="77777777" w:rsidR="00A00237" w:rsidRPr="00A00237" w:rsidRDefault="00A00237" w:rsidP="00985072">
            <w:pPr>
              <w:spacing w:line="276" w:lineRule="auto"/>
              <w:jc w:val="center"/>
              <w:rPr>
                <w:sz w:val="22"/>
                <w:szCs w:val="18"/>
                <w:lang w:val="ru-RU"/>
              </w:rPr>
            </w:pPr>
            <w:r w:rsidRPr="00A00237">
              <w:rPr>
                <w:sz w:val="22"/>
                <w:szCs w:val="18"/>
                <w:lang w:val="ru-RU"/>
              </w:rPr>
              <w:t>32,36</w:t>
            </w:r>
          </w:p>
        </w:tc>
        <w:tc>
          <w:tcPr>
            <w:tcW w:w="1189" w:type="dxa"/>
            <w:vAlign w:val="center"/>
            <w:hideMark/>
          </w:tcPr>
          <w:p w14:paraId="102F03C8" w14:textId="77777777" w:rsidR="00A00237" w:rsidRPr="00A00237" w:rsidRDefault="00A00237" w:rsidP="00985072">
            <w:pPr>
              <w:spacing w:line="276" w:lineRule="auto"/>
              <w:jc w:val="center"/>
              <w:rPr>
                <w:sz w:val="22"/>
                <w:szCs w:val="18"/>
                <w:lang w:val="ru-RU"/>
              </w:rPr>
            </w:pPr>
            <w:r w:rsidRPr="00A00237">
              <w:rPr>
                <w:sz w:val="22"/>
                <w:szCs w:val="18"/>
                <w:lang w:val="ru-RU"/>
              </w:rPr>
              <w:t>25,76</w:t>
            </w:r>
          </w:p>
        </w:tc>
        <w:tc>
          <w:tcPr>
            <w:tcW w:w="1417" w:type="dxa"/>
            <w:vAlign w:val="center"/>
            <w:hideMark/>
          </w:tcPr>
          <w:p w14:paraId="76B0C0A8" w14:textId="77777777" w:rsidR="00A00237" w:rsidRPr="00A00237" w:rsidRDefault="00A00237" w:rsidP="00985072">
            <w:pPr>
              <w:spacing w:line="276" w:lineRule="auto"/>
              <w:jc w:val="center"/>
              <w:rPr>
                <w:sz w:val="22"/>
                <w:szCs w:val="18"/>
                <w:lang w:val="ru-RU"/>
              </w:rPr>
            </w:pPr>
            <w:r w:rsidRPr="00A00237">
              <w:rPr>
                <w:sz w:val="22"/>
                <w:szCs w:val="18"/>
                <w:lang w:val="ru-RU"/>
              </w:rPr>
              <w:t>1 407,2</w:t>
            </w:r>
          </w:p>
        </w:tc>
        <w:tc>
          <w:tcPr>
            <w:tcW w:w="1394" w:type="dxa"/>
            <w:vAlign w:val="center"/>
            <w:hideMark/>
          </w:tcPr>
          <w:p w14:paraId="75DBE54A" w14:textId="77777777" w:rsidR="00A00237" w:rsidRPr="00A00237" w:rsidRDefault="00A00237" w:rsidP="00985072">
            <w:pPr>
              <w:spacing w:line="276" w:lineRule="auto"/>
              <w:jc w:val="center"/>
              <w:rPr>
                <w:sz w:val="22"/>
                <w:szCs w:val="18"/>
                <w:lang w:val="ru-RU"/>
              </w:rPr>
            </w:pPr>
            <w:r w:rsidRPr="00A00237">
              <w:rPr>
                <w:sz w:val="22"/>
                <w:szCs w:val="18"/>
                <w:lang w:val="ru-RU"/>
              </w:rPr>
              <w:t>787,58</w:t>
            </w:r>
          </w:p>
        </w:tc>
        <w:tc>
          <w:tcPr>
            <w:tcW w:w="0" w:type="auto"/>
            <w:vAlign w:val="center"/>
            <w:hideMark/>
          </w:tcPr>
          <w:p w14:paraId="0FF83641" w14:textId="77777777" w:rsidR="00A00237" w:rsidRPr="00A00237" w:rsidRDefault="00A00237" w:rsidP="00985072">
            <w:pPr>
              <w:spacing w:line="276" w:lineRule="auto"/>
              <w:jc w:val="center"/>
              <w:rPr>
                <w:sz w:val="22"/>
                <w:szCs w:val="18"/>
                <w:lang w:val="ru-RU"/>
              </w:rPr>
            </w:pPr>
            <w:r w:rsidRPr="00A00237">
              <w:rPr>
                <w:sz w:val="22"/>
                <w:szCs w:val="18"/>
                <w:lang w:val="ru-RU"/>
              </w:rPr>
              <w:t>306,19</w:t>
            </w:r>
          </w:p>
        </w:tc>
      </w:tr>
      <w:tr w:rsidR="00A00237" w:rsidRPr="00A00237" w14:paraId="5FE150AF" w14:textId="77777777" w:rsidTr="00A00237">
        <w:tc>
          <w:tcPr>
            <w:tcW w:w="987" w:type="dxa"/>
            <w:vAlign w:val="center"/>
            <w:hideMark/>
          </w:tcPr>
          <w:p w14:paraId="5DF3D20A" w14:textId="5B0633FE" w:rsidR="00A00237" w:rsidRPr="00A00237" w:rsidRDefault="00A00237" w:rsidP="00985072">
            <w:pPr>
              <w:spacing w:line="276" w:lineRule="auto"/>
              <w:jc w:val="center"/>
              <w:rPr>
                <w:sz w:val="22"/>
                <w:szCs w:val="18"/>
                <w:lang w:val="ru-RU"/>
              </w:rPr>
            </w:pPr>
            <w:r w:rsidRPr="00A00237">
              <w:rPr>
                <w:sz w:val="22"/>
                <w:szCs w:val="18"/>
                <w:lang w:val="ru-RU"/>
              </w:rPr>
              <w:t>2019</w:t>
            </w:r>
            <w:r>
              <w:rPr>
                <w:sz w:val="22"/>
                <w:szCs w:val="18"/>
              </w:rPr>
              <w:t>-</w:t>
            </w:r>
            <w:r w:rsidRPr="00A00237">
              <w:rPr>
                <w:sz w:val="22"/>
                <w:szCs w:val="18"/>
                <w:lang w:val="ru-RU"/>
              </w:rPr>
              <w:t>20</w:t>
            </w:r>
          </w:p>
        </w:tc>
        <w:tc>
          <w:tcPr>
            <w:tcW w:w="970" w:type="dxa"/>
            <w:vAlign w:val="center"/>
            <w:hideMark/>
          </w:tcPr>
          <w:p w14:paraId="6DCDADA9" w14:textId="77777777" w:rsidR="00A00237" w:rsidRPr="00A00237" w:rsidRDefault="00A00237" w:rsidP="00985072">
            <w:pPr>
              <w:spacing w:line="276" w:lineRule="auto"/>
              <w:jc w:val="center"/>
              <w:rPr>
                <w:sz w:val="22"/>
                <w:szCs w:val="18"/>
                <w:lang w:val="ru-RU"/>
              </w:rPr>
            </w:pPr>
            <w:r w:rsidRPr="00A00237">
              <w:rPr>
                <w:sz w:val="22"/>
                <w:szCs w:val="18"/>
                <w:lang w:val="ru-RU"/>
              </w:rPr>
              <w:t>20 898</w:t>
            </w:r>
          </w:p>
        </w:tc>
        <w:tc>
          <w:tcPr>
            <w:tcW w:w="0" w:type="auto"/>
            <w:vAlign w:val="center"/>
            <w:hideMark/>
          </w:tcPr>
          <w:p w14:paraId="068C190B" w14:textId="77777777" w:rsidR="00A00237" w:rsidRPr="00A00237" w:rsidRDefault="00A00237" w:rsidP="00985072">
            <w:pPr>
              <w:spacing w:line="276" w:lineRule="auto"/>
              <w:jc w:val="center"/>
              <w:rPr>
                <w:sz w:val="22"/>
                <w:szCs w:val="18"/>
                <w:lang w:val="ru-RU"/>
              </w:rPr>
            </w:pPr>
            <w:r w:rsidRPr="00A00237">
              <w:rPr>
                <w:sz w:val="22"/>
                <w:szCs w:val="18"/>
                <w:lang w:val="ru-RU"/>
              </w:rPr>
              <w:t>171 110</w:t>
            </w:r>
          </w:p>
        </w:tc>
        <w:tc>
          <w:tcPr>
            <w:tcW w:w="0" w:type="auto"/>
            <w:vAlign w:val="center"/>
            <w:hideMark/>
          </w:tcPr>
          <w:p w14:paraId="47A97D28" w14:textId="77777777" w:rsidR="00A00237" w:rsidRPr="00A00237" w:rsidRDefault="00A00237" w:rsidP="00985072">
            <w:pPr>
              <w:spacing w:line="276" w:lineRule="auto"/>
              <w:jc w:val="center"/>
              <w:rPr>
                <w:sz w:val="22"/>
                <w:szCs w:val="18"/>
                <w:lang w:val="ru-RU"/>
              </w:rPr>
            </w:pPr>
            <w:r w:rsidRPr="00A00237">
              <w:rPr>
                <w:sz w:val="22"/>
                <w:szCs w:val="18"/>
                <w:lang w:val="ru-RU"/>
              </w:rPr>
              <w:t>33,31</w:t>
            </w:r>
          </w:p>
        </w:tc>
        <w:tc>
          <w:tcPr>
            <w:tcW w:w="1189" w:type="dxa"/>
            <w:vAlign w:val="center"/>
            <w:hideMark/>
          </w:tcPr>
          <w:p w14:paraId="4C335048" w14:textId="77777777" w:rsidR="00A00237" w:rsidRPr="00A00237" w:rsidRDefault="00A00237" w:rsidP="00985072">
            <w:pPr>
              <w:spacing w:line="276" w:lineRule="auto"/>
              <w:jc w:val="center"/>
              <w:rPr>
                <w:sz w:val="22"/>
                <w:szCs w:val="18"/>
                <w:lang w:val="ru-RU"/>
              </w:rPr>
            </w:pPr>
            <w:r w:rsidRPr="00A00237">
              <w:rPr>
                <w:sz w:val="22"/>
                <w:szCs w:val="18"/>
                <w:lang w:val="ru-RU"/>
              </w:rPr>
              <w:t>26,15</w:t>
            </w:r>
          </w:p>
        </w:tc>
        <w:tc>
          <w:tcPr>
            <w:tcW w:w="1417" w:type="dxa"/>
            <w:vAlign w:val="center"/>
            <w:hideMark/>
          </w:tcPr>
          <w:p w14:paraId="679BB172" w14:textId="77777777" w:rsidR="00A00237" w:rsidRPr="00A00237" w:rsidRDefault="00A00237" w:rsidP="00985072">
            <w:pPr>
              <w:spacing w:line="276" w:lineRule="auto"/>
              <w:jc w:val="center"/>
              <w:rPr>
                <w:sz w:val="22"/>
                <w:szCs w:val="18"/>
                <w:lang w:val="ru-RU"/>
              </w:rPr>
            </w:pPr>
            <w:r w:rsidRPr="00A00237">
              <w:rPr>
                <w:sz w:val="22"/>
                <w:szCs w:val="18"/>
                <w:lang w:val="ru-RU"/>
              </w:rPr>
              <w:t>1 362,75</w:t>
            </w:r>
          </w:p>
        </w:tc>
        <w:tc>
          <w:tcPr>
            <w:tcW w:w="1394" w:type="dxa"/>
            <w:vAlign w:val="center"/>
            <w:hideMark/>
          </w:tcPr>
          <w:p w14:paraId="5AF353B4" w14:textId="77777777" w:rsidR="00A00237" w:rsidRPr="00A00237" w:rsidRDefault="00A00237" w:rsidP="00985072">
            <w:pPr>
              <w:spacing w:line="276" w:lineRule="auto"/>
              <w:jc w:val="center"/>
              <w:rPr>
                <w:sz w:val="22"/>
                <w:szCs w:val="18"/>
                <w:lang w:val="ru-RU"/>
              </w:rPr>
            </w:pPr>
            <w:r w:rsidRPr="00A00237">
              <w:rPr>
                <w:sz w:val="22"/>
                <w:szCs w:val="18"/>
                <w:lang w:val="ru-RU"/>
              </w:rPr>
              <w:t>888,64</w:t>
            </w:r>
          </w:p>
        </w:tc>
        <w:tc>
          <w:tcPr>
            <w:tcW w:w="0" w:type="auto"/>
            <w:vAlign w:val="center"/>
            <w:hideMark/>
          </w:tcPr>
          <w:p w14:paraId="43DF12CE" w14:textId="77777777" w:rsidR="00A00237" w:rsidRPr="00A00237" w:rsidRDefault="00A00237" w:rsidP="00985072">
            <w:pPr>
              <w:spacing w:line="276" w:lineRule="auto"/>
              <w:jc w:val="center"/>
              <w:rPr>
                <w:sz w:val="22"/>
                <w:szCs w:val="18"/>
                <w:lang w:val="ru-RU"/>
              </w:rPr>
            </w:pPr>
            <w:r w:rsidRPr="00A00237">
              <w:rPr>
                <w:sz w:val="22"/>
                <w:szCs w:val="18"/>
                <w:lang w:val="ru-RU"/>
              </w:rPr>
              <w:t>373,9</w:t>
            </w:r>
          </w:p>
        </w:tc>
      </w:tr>
      <w:tr w:rsidR="00A00237" w:rsidRPr="00A00237" w14:paraId="5472D7EC" w14:textId="77777777" w:rsidTr="00A00237">
        <w:tc>
          <w:tcPr>
            <w:tcW w:w="987" w:type="dxa"/>
            <w:vAlign w:val="center"/>
            <w:hideMark/>
          </w:tcPr>
          <w:p w14:paraId="61E14055" w14:textId="23C5B7BA" w:rsidR="00A00237" w:rsidRPr="00A00237" w:rsidRDefault="00A00237" w:rsidP="00985072">
            <w:pPr>
              <w:spacing w:line="276" w:lineRule="auto"/>
              <w:jc w:val="center"/>
              <w:rPr>
                <w:sz w:val="22"/>
                <w:szCs w:val="18"/>
                <w:lang w:val="ru-RU"/>
              </w:rPr>
            </w:pPr>
            <w:r w:rsidRPr="00A00237">
              <w:rPr>
                <w:sz w:val="22"/>
                <w:szCs w:val="18"/>
                <w:lang w:val="ru-RU"/>
              </w:rPr>
              <w:t>2020</w:t>
            </w:r>
            <w:r>
              <w:rPr>
                <w:sz w:val="22"/>
                <w:szCs w:val="18"/>
              </w:rPr>
              <w:t>-</w:t>
            </w:r>
            <w:r w:rsidRPr="00A00237">
              <w:rPr>
                <w:sz w:val="22"/>
                <w:szCs w:val="18"/>
                <w:lang w:val="ru-RU"/>
              </w:rPr>
              <w:t>21</w:t>
            </w:r>
          </w:p>
        </w:tc>
        <w:tc>
          <w:tcPr>
            <w:tcW w:w="970" w:type="dxa"/>
            <w:vAlign w:val="center"/>
            <w:hideMark/>
          </w:tcPr>
          <w:p w14:paraId="196DF943" w14:textId="77777777" w:rsidR="00A00237" w:rsidRPr="00A00237" w:rsidRDefault="00A00237" w:rsidP="00985072">
            <w:pPr>
              <w:spacing w:line="276" w:lineRule="auto"/>
              <w:jc w:val="center"/>
              <w:rPr>
                <w:sz w:val="22"/>
                <w:szCs w:val="18"/>
                <w:lang w:val="ru-RU"/>
              </w:rPr>
            </w:pPr>
            <w:r w:rsidRPr="00A00237">
              <w:rPr>
                <w:sz w:val="22"/>
                <w:szCs w:val="18"/>
                <w:lang w:val="ru-RU"/>
              </w:rPr>
              <w:t>20 955</w:t>
            </w:r>
          </w:p>
        </w:tc>
        <w:tc>
          <w:tcPr>
            <w:tcW w:w="0" w:type="auto"/>
            <w:vAlign w:val="center"/>
            <w:hideMark/>
          </w:tcPr>
          <w:p w14:paraId="2B0046E6" w14:textId="77777777" w:rsidR="00A00237" w:rsidRPr="00A00237" w:rsidRDefault="00A00237" w:rsidP="00985072">
            <w:pPr>
              <w:spacing w:line="276" w:lineRule="auto"/>
              <w:jc w:val="center"/>
              <w:rPr>
                <w:sz w:val="22"/>
                <w:szCs w:val="18"/>
                <w:lang w:val="ru-RU"/>
              </w:rPr>
            </w:pPr>
            <w:r w:rsidRPr="00A00237">
              <w:rPr>
                <w:sz w:val="22"/>
                <w:szCs w:val="18"/>
                <w:lang w:val="ru-RU"/>
              </w:rPr>
              <w:t>175 741</w:t>
            </w:r>
          </w:p>
        </w:tc>
        <w:tc>
          <w:tcPr>
            <w:tcW w:w="0" w:type="auto"/>
            <w:vAlign w:val="center"/>
            <w:hideMark/>
          </w:tcPr>
          <w:p w14:paraId="44ACAAF0" w14:textId="77777777" w:rsidR="00A00237" w:rsidRPr="00A00237" w:rsidRDefault="00A00237" w:rsidP="00985072">
            <w:pPr>
              <w:spacing w:line="276" w:lineRule="auto"/>
              <w:jc w:val="center"/>
              <w:rPr>
                <w:sz w:val="22"/>
                <w:szCs w:val="18"/>
                <w:lang w:val="ru-RU"/>
              </w:rPr>
            </w:pPr>
            <w:r w:rsidRPr="00A00237">
              <w:rPr>
                <w:sz w:val="22"/>
                <w:szCs w:val="18"/>
                <w:lang w:val="ru-RU"/>
              </w:rPr>
              <w:t>35,19</w:t>
            </w:r>
          </w:p>
        </w:tc>
        <w:tc>
          <w:tcPr>
            <w:tcW w:w="1189" w:type="dxa"/>
            <w:vAlign w:val="center"/>
            <w:hideMark/>
          </w:tcPr>
          <w:p w14:paraId="2F269AAC" w14:textId="77777777" w:rsidR="00A00237" w:rsidRPr="00A00237" w:rsidRDefault="00A00237" w:rsidP="00985072">
            <w:pPr>
              <w:spacing w:line="276" w:lineRule="auto"/>
              <w:jc w:val="center"/>
              <w:rPr>
                <w:sz w:val="22"/>
                <w:szCs w:val="18"/>
                <w:lang w:val="ru-RU"/>
              </w:rPr>
            </w:pPr>
            <w:r w:rsidRPr="00A00237">
              <w:rPr>
                <w:sz w:val="22"/>
                <w:szCs w:val="18"/>
                <w:lang w:val="ru-RU"/>
              </w:rPr>
              <w:t>27,8</w:t>
            </w:r>
          </w:p>
        </w:tc>
        <w:tc>
          <w:tcPr>
            <w:tcW w:w="1417" w:type="dxa"/>
            <w:vAlign w:val="center"/>
            <w:hideMark/>
          </w:tcPr>
          <w:p w14:paraId="77087805" w14:textId="77777777" w:rsidR="00A00237" w:rsidRPr="00A00237" w:rsidRDefault="00A00237" w:rsidP="00985072">
            <w:pPr>
              <w:spacing w:line="276" w:lineRule="auto"/>
              <w:jc w:val="center"/>
              <w:rPr>
                <w:sz w:val="22"/>
                <w:szCs w:val="18"/>
                <w:lang w:val="ru-RU"/>
              </w:rPr>
            </w:pPr>
            <w:r w:rsidRPr="00A00237">
              <w:rPr>
                <w:sz w:val="22"/>
                <w:szCs w:val="18"/>
                <w:lang w:val="ru-RU"/>
              </w:rPr>
              <w:t>1 512,09</w:t>
            </w:r>
          </w:p>
        </w:tc>
        <w:tc>
          <w:tcPr>
            <w:tcW w:w="1394" w:type="dxa"/>
            <w:vAlign w:val="center"/>
            <w:hideMark/>
          </w:tcPr>
          <w:p w14:paraId="1AF15938" w14:textId="77777777" w:rsidR="00A00237" w:rsidRPr="00A00237" w:rsidRDefault="00A00237" w:rsidP="00985072">
            <w:pPr>
              <w:spacing w:line="276" w:lineRule="auto"/>
              <w:jc w:val="center"/>
              <w:rPr>
                <w:sz w:val="22"/>
                <w:szCs w:val="18"/>
                <w:lang w:val="ru-RU"/>
              </w:rPr>
            </w:pPr>
            <w:r w:rsidRPr="00A00237">
              <w:rPr>
                <w:sz w:val="22"/>
                <w:szCs w:val="18"/>
                <w:lang w:val="ru-RU"/>
              </w:rPr>
              <w:t>949,85</w:t>
            </w:r>
          </w:p>
        </w:tc>
        <w:tc>
          <w:tcPr>
            <w:tcW w:w="0" w:type="auto"/>
            <w:vAlign w:val="center"/>
            <w:hideMark/>
          </w:tcPr>
          <w:p w14:paraId="37F8877F" w14:textId="77777777" w:rsidR="00A00237" w:rsidRPr="00A00237" w:rsidRDefault="00A00237" w:rsidP="00985072">
            <w:pPr>
              <w:spacing w:line="276" w:lineRule="auto"/>
              <w:jc w:val="center"/>
              <w:rPr>
                <w:sz w:val="22"/>
                <w:szCs w:val="18"/>
                <w:lang w:val="ru-RU"/>
              </w:rPr>
            </w:pPr>
            <w:r w:rsidRPr="00A00237">
              <w:rPr>
                <w:sz w:val="22"/>
                <w:szCs w:val="18"/>
                <w:lang w:val="ru-RU"/>
              </w:rPr>
              <w:t>422,39</w:t>
            </w:r>
          </w:p>
        </w:tc>
      </w:tr>
      <w:tr w:rsidR="00A00237" w:rsidRPr="00A00237" w14:paraId="5EEB0927" w14:textId="77777777" w:rsidTr="00A00237">
        <w:tc>
          <w:tcPr>
            <w:tcW w:w="987" w:type="dxa"/>
            <w:vAlign w:val="center"/>
            <w:hideMark/>
          </w:tcPr>
          <w:p w14:paraId="54D248D5" w14:textId="185CD85C" w:rsidR="00A00237" w:rsidRPr="00A00237" w:rsidRDefault="00A00237" w:rsidP="00985072">
            <w:pPr>
              <w:spacing w:line="276" w:lineRule="auto"/>
              <w:jc w:val="center"/>
              <w:rPr>
                <w:sz w:val="22"/>
                <w:szCs w:val="18"/>
                <w:lang w:val="ru-RU"/>
              </w:rPr>
            </w:pPr>
            <w:r w:rsidRPr="00A00237">
              <w:rPr>
                <w:sz w:val="22"/>
                <w:szCs w:val="18"/>
                <w:lang w:val="ru-RU"/>
              </w:rPr>
              <w:t>2021</w:t>
            </w:r>
            <w:r>
              <w:rPr>
                <w:sz w:val="22"/>
                <w:szCs w:val="18"/>
              </w:rPr>
              <w:t>-</w:t>
            </w:r>
            <w:r w:rsidRPr="00A00237">
              <w:rPr>
                <w:sz w:val="22"/>
                <w:szCs w:val="18"/>
                <w:lang w:val="ru-RU"/>
              </w:rPr>
              <w:t>22</w:t>
            </w:r>
          </w:p>
        </w:tc>
        <w:tc>
          <w:tcPr>
            <w:tcW w:w="970" w:type="dxa"/>
            <w:vAlign w:val="center"/>
            <w:hideMark/>
          </w:tcPr>
          <w:p w14:paraId="2240F3E4" w14:textId="77777777" w:rsidR="00A00237" w:rsidRPr="00A00237" w:rsidRDefault="00A00237" w:rsidP="00985072">
            <w:pPr>
              <w:spacing w:line="276" w:lineRule="auto"/>
              <w:jc w:val="center"/>
              <w:rPr>
                <w:sz w:val="22"/>
                <w:szCs w:val="18"/>
                <w:lang w:val="ru-RU"/>
              </w:rPr>
            </w:pPr>
            <w:r w:rsidRPr="00A00237">
              <w:rPr>
                <w:sz w:val="22"/>
                <w:szCs w:val="18"/>
                <w:lang w:val="ru-RU"/>
              </w:rPr>
              <w:t>23 543</w:t>
            </w:r>
          </w:p>
        </w:tc>
        <w:tc>
          <w:tcPr>
            <w:tcW w:w="0" w:type="auto"/>
            <w:vAlign w:val="center"/>
            <w:hideMark/>
          </w:tcPr>
          <w:p w14:paraId="30D92382" w14:textId="77777777" w:rsidR="00A00237" w:rsidRPr="00A00237" w:rsidRDefault="00A00237" w:rsidP="00985072">
            <w:pPr>
              <w:spacing w:line="276" w:lineRule="auto"/>
              <w:jc w:val="center"/>
              <w:rPr>
                <w:sz w:val="22"/>
                <w:szCs w:val="18"/>
                <w:lang w:val="ru-RU"/>
              </w:rPr>
            </w:pPr>
            <w:r w:rsidRPr="00A00237">
              <w:rPr>
                <w:sz w:val="22"/>
                <w:szCs w:val="18"/>
                <w:lang w:val="ru-RU"/>
              </w:rPr>
              <w:t>206 713</w:t>
            </w:r>
          </w:p>
        </w:tc>
        <w:tc>
          <w:tcPr>
            <w:tcW w:w="0" w:type="auto"/>
            <w:vAlign w:val="center"/>
            <w:hideMark/>
          </w:tcPr>
          <w:p w14:paraId="1533F61D" w14:textId="77777777" w:rsidR="00A00237" w:rsidRPr="00A00237" w:rsidRDefault="00A00237" w:rsidP="00985072">
            <w:pPr>
              <w:spacing w:line="276" w:lineRule="auto"/>
              <w:jc w:val="center"/>
              <w:rPr>
                <w:sz w:val="22"/>
                <w:szCs w:val="18"/>
                <w:lang w:val="ru-RU"/>
              </w:rPr>
            </w:pPr>
            <w:r w:rsidRPr="00A00237">
              <w:rPr>
                <w:sz w:val="22"/>
                <w:szCs w:val="18"/>
                <w:lang w:val="ru-RU"/>
              </w:rPr>
              <w:t>38,27</w:t>
            </w:r>
          </w:p>
        </w:tc>
        <w:tc>
          <w:tcPr>
            <w:tcW w:w="1189" w:type="dxa"/>
            <w:vAlign w:val="center"/>
            <w:hideMark/>
          </w:tcPr>
          <w:p w14:paraId="05757FBE" w14:textId="77777777" w:rsidR="00A00237" w:rsidRPr="00A00237" w:rsidRDefault="00A00237" w:rsidP="00985072">
            <w:pPr>
              <w:spacing w:line="276" w:lineRule="auto"/>
              <w:jc w:val="center"/>
              <w:rPr>
                <w:sz w:val="22"/>
                <w:szCs w:val="18"/>
                <w:lang w:val="ru-RU"/>
              </w:rPr>
            </w:pPr>
            <w:r w:rsidRPr="00A00237">
              <w:rPr>
                <w:sz w:val="22"/>
                <w:szCs w:val="18"/>
                <w:lang w:val="ru-RU"/>
              </w:rPr>
              <w:t>29,74</w:t>
            </w:r>
          </w:p>
        </w:tc>
        <w:tc>
          <w:tcPr>
            <w:tcW w:w="1417" w:type="dxa"/>
            <w:vAlign w:val="center"/>
            <w:hideMark/>
          </w:tcPr>
          <w:p w14:paraId="07B26143" w14:textId="77777777" w:rsidR="00A00237" w:rsidRPr="00A00237" w:rsidRDefault="00A00237" w:rsidP="00985072">
            <w:pPr>
              <w:spacing w:line="276" w:lineRule="auto"/>
              <w:jc w:val="center"/>
              <w:rPr>
                <w:sz w:val="22"/>
                <w:szCs w:val="18"/>
                <w:lang w:val="ru-RU"/>
              </w:rPr>
            </w:pPr>
            <w:r w:rsidRPr="00A00237">
              <w:rPr>
                <w:sz w:val="22"/>
                <w:szCs w:val="18"/>
                <w:lang w:val="ru-RU"/>
              </w:rPr>
              <w:t>1 918,83</w:t>
            </w:r>
          </w:p>
        </w:tc>
        <w:tc>
          <w:tcPr>
            <w:tcW w:w="1394" w:type="dxa"/>
            <w:vAlign w:val="center"/>
            <w:hideMark/>
          </w:tcPr>
          <w:p w14:paraId="6149F485" w14:textId="77777777" w:rsidR="00A00237" w:rsidRPr="00A00237" w:rsidRDefault="00A00237" w:rsidP="00985072">
            <w:pPr>
              <w:spacing w:line="276" w:lineRule="auto"/>
              <w:jc w:val="center"/>
              <w:rPr>
                <w:sz w:val="22"/>
                <w:szCs w:val="18"/>
                <w:lang w:val="ru-RU"/>
              </w:rPr>
            </w:pPr>
            <w:r w:rsidRPr="00A00237">
              <w:rPr>
                <w:sz w:val="22"/>
                <w:szCs w:val="18"/>
                <w:lang w:val="ru-RU"/>
              </w:rPr>
              <w:t>1 241,49</w:t>
            </w:r>
          </w:p>
        </w:tc>
        <w:tc>
          <w:tcPr>
            <w:tcW w:w="0" w:type="auto"/>
            <w:vAlign w:val="center"/>
            <w:hideMark/>
          </w:tcPr>
          <w:p w14:paraId="6D368075" w14:textId="77777777" w:rsidR="00A00237" w:rsidRPr="00A00237" w:rsidRDefault="00A00237" w:rsidP="00985072">
            <w:pPr>
              <w:spacing w:line="276" w:lineRule="auto"/>
              <w:jc w:val="center"/>
              <w:rPr>
                <w:sz w:val="22"/>
                <w:szCs w:val="18"/>
                <w:lang w:val="ru-RU"/>
              </w:rPr>
            </w:pPr>
            <w:r w:rsidRPr="00A00237">
              <w:rPr>
                <w:sz w:val="22"/>
                <w:szCs w:val="18"/>
                <w:lang w:val="ru-RU"/>
              </w:rPr>
              <w:t>496,24</w:t>
            </w:r>
          </w:p>
        </w:tc>
      </w:tr>
      <w:tr w:rsidR="00A00237" w:rsidRPr="00A00237" w14:paraId="63ABABC3" w14:textId="77777777" w:rsidTr="00A00237">
        <w:tc>
          <w:tcPr>
            <w:tcW w:w="987" w:type="dxa"/>
            <w:vAlign w:val="center"/>
            <w:hideMark/>
          </w:tcPr>
          <w:p w14:paraId="79CB18B9" w14:textId="3693ED3A" w:rsidR="00A00237" w:rsidRPr="00A00237" w:rsidRDefault="00A00237" w:rsidP="00985072">
            <w:pPr>
              <w:spacing w:line="276" w:lineRule="auto"/>
              <w:jc w:val="center"/>
              <w:rPr>
                <w:sz w:val="22"/>
                <w:szCs w:val="18"/>
                <w:lang w:val="ru-RU"/>
              </w:rPr>
            </w:pPr>
            <w:r w:rsidRPr="00A00237">
              <w:rPr>
                <w:sz w:val="22"/>
                <w:szCs w:val="18"/>
                <w:lang w:val="ru-RU"/>
              </w:rPr>
              <w:t>2022</w:t>
            </w:r>
            <w:r>
              <w:rPr>
                <w:sz w:val="22"/>
                <w:szCs w:val="18"/>
              </w:rPr>
              <w:t>-</w:t>
            </w:r>
            <w:r w:rsidRPr="00A00237">
              <w:rPr>
                <w:sz w:val="22"/>
                <w:szCs w:val="18"/>
                <w:lang w:val="ru-RU"/>
              </w:rPr>
              <w:t>23</w:t>
            </w:r>
          </w:p>
        </w:tc>
        <w:tc>
          <w:tcPr>
            <w:tcW w:w="970" w:type="dxa"/>
            <w:vAlign w:val="center"/>
            <w:hideMark/>
          </w:tcPr>
          <w:p w14:paraId="7F805F33" w14:textId="77777777" w:rsidR="00A00237" w:rsidRPr="00A00237" w:rsidRDefault="00A00237" w:rsidP="00985072">
            <w:pPr>
              <w:spacing w:line="276" w:lineRule="auto"/>
              <w:jc w:val="center"/>
              <w:rPr>
                <w:sz w:val="22"/>
                <w:szCs w:val="18"/>
                <w:lang w:val="ru-RU"/>
              </w:rPr>
            </w:pPr>
            <w:r w:rsidRPr="00A00237">
              <w:rPr>
                <w:sz w:val="22"/>
                <w:szCs w:val="18"/>
                <w:lang w:val="ru-RU"/>
              </w:rPr>
              <w:t>25 336</w:t>
            </w:r>
          </w:p>
        </w:tc>
        <w:tc>
          <w:tcPr>
            <w:tcW w:w="0" w:type="auto"/>
            <w:vAlign w:val="center"/>
            <w:hideMark/>
          </w:tcPr>
          <w:p w14:paraId="7AD11A3D" w14:textId="77777777" w:rsidR="00A00237" w:rsidRPr="00A00237" w:rsidRDefault="00A00237" w:rsidP="00985072">
            <w:pPr>
              <w:spacing w:line="276" w:lineRule="auto"/>
              <w:jc w:val="center"/>
              <w:rPr>
                <w:sz w:val="22"/>
                <w:szCs w:val="18"/>
                <w:lang w:val="ru-RU"/>
              </w:rPr>
            </w:pPr>
            <w:r w:rsidRPr="00A00237">
              <w:rPr>
                <w:sz w:val="22"/>
                <w:szCs w:val="18"/>
                <w:lang w:val="ru-RU"/>
              </w:rPr>
              <w:t>206 237</w:t>
            </w:r>
          </w:p>
        </w:tc>
        <w:tc>
          <w:tcPr>
            <w:tcW w:w="0" w:type="auto"/>
            <w:vAlign w:val="center"/>
            <w:hideMark/>
          </w:tcPr>
          <w:p w14:paraId="42E899F6" w14:textId="77777777" w:rsidR="00A00237" w:rsidRPr="00A00237" w:rsidRDefault="00A00237" w:rsidP="00985072">
            <w:pPr>
              <w:spacing w:line="276" w:lineRule="auto"/>
              <w:jc w:val="center"/>
              <w:rPr>
                <w:sz w:val="22"/>
                <w:szCs w:val="18"/>
                <w:lang w:val="ru-RU"/>
              </w:rPr>
            </w:pPr>
            <w:r w:rsidRPr="00A00237">
              <w:rPr>
                <w:sz w:val="22"/>
                <w:szCs w:val="18"/>
                <w:lang w:val="ru-RU"/>
              </w:rPr>
              <w:t>40,86</w:t>
            </w:r>
          </w:p>
        </w:tc>
        <w:tc>
          <w:tcPr>
            <w:tcW w:w="1189" w:type="dxa"/>
            <w:vAlign w:val="center"/>
            <w:hideMark/>
          </w:tcPr>
          <w:p w14:paraId="70673952" w14:textId="77777777" w:rsidR="00A00237" w:rsidRPr="00A00237" w:rsidRDefault="00A00237" w:rsidP="00985072">
            <w:pPr>
              <w:spacing w:line="276" w:lineRule="auto"/>
              <w:jc w:val="center"/>
              <w:rPr>
                <w:sz w:val="22"/>
                <w:szCs w:val="18"/>
                <w:lang w:val="ru-RU"/>
              </w:rPr>
            </w:pPr>
            <w:r w:rsidRPr="00A00237">
              <w:rPr>
                <w:sz w:val="22"/>
                <w:szCs w:val="18"/>
                <w:lang w:val="ru-RU"/>
              </w:rPr>
              <w:t>31,53</w:t>
            </w:r>
          </w:p>
        </w:tc>
        <w:tc>
          <w:tcPr>
            <w:tcW w:w="1417" w:type="dxa"/>
            <w:vAlign w:val="center"/>
            <w:hideMark/>
          </w:tcPr>
          <w:p w14:paraId="430EFF84" w14:textId="77777777" w:rsidR="00A00237" w:rsidRPr="00A00237" w:rsidRDefault="00A00237" w:rsidP="00985072">
            <w:pPr>
              <w:spacing w:line="276" w:lineRule="auto"/>
              <w:jc w:val="center"/>
              <w:rPr>
                <w:sz w:val="22"/>
                <w:szCs w:val="18"/>
                <w:lang w:val="ru-RU"/>
              </w:rPr>
            </w:pPr>
            <w:r w:rsidRPr="00A00237">
              <w:rPr>
                <w:sz w:val="22"/>
                <w:szCs w:val="18"/>
                <w:lang w:val="ru-RU"/>
              </w:rPr>
              <w:t>2 493,02</w:t>
            </w:r>
          </w:p>
        </w:tc>
        <w:tc>
          <w:tcPr>
            <w:tcW w:w="1394" w:type="dxa"/>
            <w:vAlign w:val="center"/>
            <w:hideMark/>
          </w:tcPr>
          <w:p w14:paraId="316D4731" w14:textId="77777777" w:rsidR="00A00237" w:rsidRPr="00A00237" w:rsidRDefault="00A00237" w:rsidP="00985072">
            <w:pPr>
              <w:spacing w:line="276" w:lineRule="auto"/>
              <w:jc w:val="center"/>
              <w:rPr>
                <w:sz w:val="22"/>
                <w:szCs w:val="18"/>
                <w:lang w:val="ru-RU"/>
              </w:rPr>
            </w:pPr>
            <w:r w:rsidRPr="00A00237">
              <w:rPr>
                <w:sz w:val="22"/>
                <w:szCs w:val="18"/>
                <w:lang w:val="ru-RU"/>
              </w:rPr>
              <w:t>1 504,18</w:t>
            </w:r>
          </w:p>
        </w:tc>
        <w:tc>
          <w:tcPr>
            <w:tcW w:w="0" w:type="auto"/>
            <w:vAlign w:val="center"/>
            <w:hideMark/>
          </w:tcPr>
          <w:p w14:paraId="4850ED48" w14:textId="77777777" w:rsidR="00A00237" w:rsidRPr="00A00237" w:rsidRDefault="00A00237" w:rsidP="00985072">
            <w:pPr>
              <w:spacing w:line="276" w:lineRule="auto"/>
              <w:jc w:val="center"/>
              <w:rPr>
                <w:sz w:val="22"/>
                <w:szCs w:val="18"/>
                <w:lang w:val="ru-RU"/>
              </w:rPr>
            </w:pPr>
            <w:r w:rsidRPr="00A00237">
              <w:rPr>
                <w:sz w:val="22"/>
                <w:szCs w:val="18"/>
                <w:lang w:val="ru-RU"/>
              </w:rPr>
              <w:t>620,55</w:t>
            </w:r>
          </w:p>
        </w:tc>
      </w:tr>
    </w:tbl>
    <w:p w14:paraId="5F65852C" w14:textId="77777777" w:rsidR="00AF6927" w:rsidRDefault="00AF6927" w:rsidP="00985072">
      <w:pPr>
        <w:spacing w:after="0" w:line="276" w:lineRule="auto"/>
        <w:ind w:firstLine="709"/>
        <w:jc w:val="both"/>
      </w:pPr>
      <w:r w:rsidRPr="00CC134C">
        <w:t>Kreditlash</w:t>
      </w:r>
      <w:r w:rsidRPr="004266E1">
        <w:t xml:space="preserve"> </w:t>
      </w:r>
      <w:r w:rsidRPr="00CC134C">
        <w:t>hajmi</w:t>
      </w:r>
      <w:r w:rsidRPr="004266E1">
        <w:t xml:space="preserve"> 2014-2015-</w:t>
      </w:r>
      <w:r w:rsidRPr="00CC134C">
        <w:t>yillardagi</w:t>
      </w:r>
      <w:r w:rsidRPr="004266E1">
        <w:t xml:space="preserve"> </w:t>
      </w:r>
      <w:r w:rsidRPr="00CC134C">
        <w:t>pasayishlardan</w:t>
      </w:r>
      <w:r w:rsidRPr="004266E1">
        <w:t xml:space="preserve"> </w:t>
      </w:r>
      <w:r w:rsidRPr="00CC134C">
        <w:t>so</w:t>
      </w:r>
      <w:r w:rsidRPr="004266E1">
        <w:t>‘</w:t>
      </w:r>
      <w:r w:rsidRPr="00CC134C">
        <w:t>ng</w:t>
      </w:r>
      <w:r w:rsidRPr="004266E1">
        <w:t xml:space="preserve"> </w:t>
      </w:r>
      <w:r w:rsidRPr="00CC134C">
        <w:t>tez</w:t>
      </w:r>
      <w:r w:rsidRPr="004266E1">
        <w:t xml:space="preserve"> </w:t>
      </w:r>
      <w:r w:rsidRPr="00CC134C">
        <w:t>tiklanib</w:t>
      </w:r>
      <w:r w:rsidRPr="004266E1">
        <w:t>, 2022-2023-</w:t>
      </w:r>
      <w:r w:rsidRPr="00CC134C">
        <w:t>yilda</w:t>
      </w:r>
      <w:r w:rsidRPr="004266E1">
        <w:t xml:space="preserve"> 2493,02 </w:t>
      </w:r>
      <w:r w:rsidRPr="00CC134C">
        <w:t>mlrd</w:t>
      </w:r>
      <w:r w:rsidRPr="004266E1">
        <w:t xml:space="preserve"> </w:t>
      </w:r>
      <w:r>
        <w:t>Bangladesh</w:t>
      </w:r>
      <w:r w:rsidRPr="004266E1">
        <w:t xml:space="preserve"> </w:t>
      </w:r>
      <w:r>
        <w:t>takasi</w:t>
      </w:r>
      <w:r w:rsidRPr="004266E1">
        <w:t xml:space="preserve"> (</w:t>
      </w:r>
      <w:r w:rsidRPr="00CC134C">
        <w:t>BDT</w:t>
      </w:r>
      <w:r w:rsidRPr="004266E1">
        <w:t>)</w:t>
      </w:r>
      <w:r w:rsidRPr="00CC134C">
        <w:t>ga</w:t>
      </w:r>
      <w:r w:rsidRPr="004266E1">
        <w:t xml:space="preserve"> </w:t>
      </w:r>
      <w:r w:rsidRPr="00CC134C">
        <w:t>chiqdi</w:t>
      </w:r>
      <w:r w:rsidRPr="004266E1">
        <w:t xml:space="preserve">, </w:t>
      </w:r>
      <w:r w:rsidRPr="00CC134C">
        <w:t>qarz</w:t>
      </w:r>
      <w:r w:rsidRPr="004266E1">
        <w:t xml:space="preserve"> </w:t>
      </w:r>
      <w:r w:rsidRPr="00CC134C">
        <w:t>portfeli</w:t>
      </w:r>
      <w:r w:rsidRPr="004266E1">
        <w:t xml:space="preserve"> </w:t>
      </w:r>
      <w:r w:rsidRPr="00CC134C">
        <w:t>va</w:t>
      </w:r>
      <w:r w:rsidRPr="004266E1">
        <w:t xml:space="preserve"> </w:t>
      </w:r>
      <w:r w:rsidRPr="00CC134C">
        <w:t>jamg</w:t>
      </w:r>
      <w:r w:rsidRPr="004266E1">
        <w:t>‘</w:t>
      </w:r>
      <w:r w:rsidRPr="00CC134C">
        <w:t>armalar</w:t>
      </w:r>
      <w:r w:rsidRPr="004266E1">
        <w:t xml:space="preserve"> </w:t>
      </w:r>
      <w:r w:rsidRPr="00CC134C">
        <w:t>mos</w:t>
      </w:r>
      <w:r w:rsidRPr="004266E1">
        <w:t xml:space="preserve"> </w:t>
      </w:r>
      <w:r w:rsidRPr="00CC134C">
        <w:t>ravishda</w:t>
      </w:r>
      <w:r w:rsidRPr="004266E1">
        <w:t xml:space="preserve"> 1504,18 </w:t>
      </w:r>
      <w:r w:rsidRPr="00CC134C">
        <w:t>va</w:t>
      </w:r>
      <w:r w:rsidRPr="004266E1">
        <w:t xml:space="preserve"> 620,55 </w:t>
      </w:r>
      <w:r w:rsidRPr="00CC134C">
        <w:t>mlrd</w:t>
      </w:r>
      <w:r w:rsidRPr="004266E1">
        <w:t xml:space="preserve"> </w:t>
      </w:r>
      <w:r w:rsidRPr="00CC134C">
        <w:t>BDT</w:t>
      </w:r>
      <w:r w:rsidRPr="004266E1">
        <w:t xml:space="preserve"> </w:t>
      </w:r>
      <w:r w:rsidRPr="00CC134C">
        <w:t>ni</w:t>
      </w:r>
      <w:r w:rsidRPr="004266E1">
        <w:t xml:space="preserve"> </w:t>
      </w:r>
      <w:r w:rsidRPr="00CC134C">
        <w:t>tashkil</w:t>
      </w:r>
      <w:r w:rsidRPr="004266E1">
        <w:t xml:space="preserve"> </w:t>
      </w:r>
      <w:r w:rsidRPr="00CC134C">
        <w:t>etdi</w:t>
      </w:r>
      <w:r w:rsidRPr="004266E1">
        <w:t>. 2020-</w:t>
      </w:r>
      <w:r w:rsidRPr="00CC134C">
        <w:t>yilda</w:t>
      </w:r>
      <w:r w:rsidRPr="004266E1">
        <w:t xml:space="preserve"> </w:t>
      </w:r>
      <w:r w:rsidRPr="00CC134C">
        <w:t>pandemiya</w:t>
      </w:r>
      <w:r w:rsidRPr="004266E1">
        <w:t xml:space="preserve"> </w:t>
      </w:r>
      <w:r w:rsidRPr="00CC134C">
        <w:t>ta</w:t>
      </w:r>
      <w:r w:rsidRPr="004266E1">
        <w:t>’</w:t>
      </w:r>
      <w:r w:rsidRPr="00CC134C">
        <w:t>siri</w:t>
      </w:r>
      <w:r w:rsidRPr="004266E1">
        <w:t xml:space="preserve"> </w:t>
      </w:r>
      <w:r w:rsidRPr="00CC134C">
        <w:t>sezilgan</w:t>
      </w:r>
      <w:r w:rsidRPr="004266E1">
        <w:t xml:space="preserve"> </w:t>
      </w:r>
      <w:r w:rsidRPr="00CC134C">
        <w:t>bo</w:t>
      </w:r>
      <w:r w:rsidRPr="004266E1">
        <w:t>‘</w:t>
      </w:r>
      <w:r w:rsidRPr="00CC134C">
        <w:t>lsa</w:t>
      </w:r>
      <w:r w:rsidRPr="004266E1">
        <w:t>-</w:t>
      </w:r>
      <w:r w:rsidRPr="00CC134C">
        <w:t>da</w:t>
      </w:r>
      <w:r w:rsidRPr="004266E1">
        <w:t xml:space="preserve">, </w:t>
      </w:r>
      <w:r w:rsidRPr="00CC134C">
        <w:t>keyingi</w:t>
      </w:r>
      <w:r w:rsidRPr="004266E1">
        <w:t xml:space="preserve"> </w:t>
      </w:r>
      <w:r w:rsidRPr="00CC134C">
        <w:t>ikki</w:t>
      </w:r>
      <w:r w:rsidRPr="004266E1">
        <w:t xml:space="preserve"> </w:t>
      </w:r>
      <w:r w:rsidRPr="00CC134C">
        <w:t>yilda</w:t>
      </w:r>
      <w:r w:rsidRPr="004266E1">
        <w:t xml:space="preserve"> </w:t>
      </w:r>
      <w:r w:rsidRPr="00CC134C">
        <w:t>kreditlash</w:t>
      </w:r>
      <w:r w:rsidRPr="004266E1">
        <w:t xml:space="preserve"> </w:t>
      </w:r>
      <w:r w:rsidRPr="00CC134C">
        <w:t>va</w:t>
      </w:r>
      <w:r w:rsidRPr="004266E1">
        <w:t xml:space="preserve"> </w:t>
      </w:r>
      <w:r w:rsidRPr="00CC134C">
        <w:t>jamg</w:t>
      </w:r>
      <w:r w:rsidRPr="004266E1">
        <w:t>‘</w:t>
      </w:r>
      <w:r w:rsidRPr="00CC134C">
        <w:t>armalar</w:t>
      </w:r>
      <w:r w:rsidRPr="004266E1">
        <w:t xml:space="preserve"> </w:t>
      </w:r>
      <w:r w:rsidRPr="00CC134C">
        <w:t>ko</w:t>
      </w:r>
      <w:r w:rsidRPr="004266E1">
        <w:t>‘</w:t>
      </w:r>
      <w:r w:rsidRPr="00CC134C">
        <w:t>rsatkichlarining</w:t>
      </w:r>
      <w:r w:rsidRPr="004266E1">
        <w:t xml:space="preserve"> </w:t>
      </w:r>
      <w:r w:rsidRPr="00CC134C">
        <w:t>tez</w:t>
      </w:r>
      <w:r w:rsidRPr="004266E1">
        <w:t xml:space="preserve"> </w:t>
      </w:r>
      <w:r w:rsidRPr="00CC134C">
        <w:t>sur</w:t>
      </w:r>
      <w:r w:rsidRPr="004266E1">
        <w:t>’</w:t>
      </w:r>
      <w:r w:rsidRPr="00CC134C">
        <w:t>atlarda</w:t>
      </w:r>
      <w:r w:rsidRPr="004266E1">
        <w:t xml:space="preserve"> </w:t>
      </w:r>
      <w:r w:rsidRPr="00CC134C">
        <w:t>tiklanishi</w:t>
      </w:r>
      <w:r w:rsidRPr="004266E1">
        <w:t xml:space="preserve"> </w:t>
      </w:r>
      <w:r w:rsidRPr="00CC134C">
        <w:t>sektorning</w:t>
      </w:r>
      <w:r w:rsidRPr="004266E1">
        <w:t xml:space="preserve"> </w:t>
      </w:r>
      <w:r w:rsidRPr="00CC134C">
        <w:t>moslashuvchanligini</w:t>
      </w:r>
      <w:r w:rsidRPr="004266E1">
        <w:t xml:space="preserve"> </w:t>
      </w:r>
      <w:r w:rsidRPr="00CC134C">
        <w:t>ko</w:t>
      </w:r>
      <w:r w:rsidRPr="004266E1">
        <w:t>‘</w:t>
      </w:r>
      <w:r w:rsidRPr="00CC134C">
        <w:t>rsatadi</w:t>
      </w:r>
      <w:r w:rsidRPr="004266E1">
        <w:t xml:space="preserve">. </w:t>
      </w:r>
      <w:r w:rsidRPr="00CC134C">
        <w:t>Jamg‘armalar/qarz qoldig‘i nisbatining 2022</w:t>
      </w:r>
      <w:r>
        <w:t>-</w:t>
      </w:r>
      <w:r w:rsidRPr="00CC134C">
        <w:t>2023 yilda 41% atrofida shakllanishi ichki resurslar bazasining mustahkamlanayotganidan dalolat beradi.</w:t>
      </w:r>
    </w:p>
    <w:p w14:paraId="538923C4" w14:textId="770A94C2" w:rsidR="00AF6927" w:rsidRPr="001B39EA" w:rsidRDefault="00AF6927" w:rsidP="00985072">
      <w:pPr>
        <w:spacing w:after="0" w:line="276" w:lineRule="auto"/>
        <w:ind w:firstLine="709"/>
        <w:jc w:val="right"/>
        <w:rPr>
          <w:b/>
          <w:bCs/>
        </w:rPr>
      </w:pPr>
      <w:r>
        <w:rPr>
          <w:b/>
          <w:bCs/>
        </w:rPr>
        <w:lastRenderedPageBreak/>
        <w:t>3</w:t>
      </w:r>
      <w:r w:rsidRPr="001B39EA">
        <w:rPr>
          <w:b/>
          <w:bCs/>
        </w:rPr>
        <w:t>-jadval.</w:t>
      </w:r>
    </w:p>
    <w:p w14:paraId="4F2DF4E9" w14:textId="45097461" w:rsidR="00AF6927" w:rsidRPr="00334A47" w:rsidRDefault="00AF6927" w:rsidP="00985072">
      <w:pPr>
        <w:spacing w:after="0" w:line="276" w:lineRule="auto"/>
        <w:jc w:val="center"/>
        <w:rPr>
          <w:b/>
          <w:bCs/>
        </w:rPr>
      </w:pPr>
      <w:r w:rsidRPr="00AF6927">
        <w:rPr>
          <w:b/>
          <w:bCs/>
        </w:rPr>
        <w:t>Grameen Bankning so‘nggi 5 yildagi asosiy ko‘rsatkichlari</w:t>
      </w:r>
      <w:r w:rsidR="00185793" w:rsidRPr="00185793">
        <w:rPr>
          <w:rStyle w:val="af0"/>
          <w:b/>
          <w:bCs/>
        </w:rPr>
        <w:footnoteReference w:id="16"/>
      </w:r>
    </w:p>
    <w:tbl>
      <w:tblPr>
        <w:tblStyle w:val="ac"/>
        <w:tblW w:w="5000" w:type="pct"/>
        <w:tblLook w:val="04A0" w:firstRow="1" w:lastRow="0" w:firstColumn="1" w:lastColumn="0" w:noHBand="0" w:noVBand="1"/>
      </w:tblPr>
      <w:tblGrid>
        <w:gridCol w:w="4293"/>
        <w:gridCol w:w="1109"/>
        <w:gridCol w:w="1109"/>
        <w:gridCol w:w="952"/>
        <w:gridCol w:w="1109"/>
        <w:gridCol w:w="1107"/>
      </w:tblGrid>
      <w:tr w:rsidR="00AF6927" w:rsidRPr="00AF6927" w14:paraId="27329FC4" w14:textId="77777777" w:rsidTr="00AF6927">
        <w:tc>
          <w:tcPr>
            <w:tcW w:w="2217" w:type="pct"/>
            <w:shd w:val="clear" w:color="auto" w:fill="BDD6EE" w:themeFill="accent1" w:themeFillTint="66"/>
            <w:vAlign w:val="center"/>
            <w:hideMark/>
          </w:tcPr>
          <w:p w14:paraId="07E55FE3" w14:textId="77777777" w:rsidR="00AF6927" w:rsidRPr="00AF6927" w:rsidRDefault="00AF6927" w:rsidP="00985072">
            <w:pPr>
              <w:spacing w:line="276" w:lineRule="auto"/>
              <w:jc w:val="center"/>
              <w:rPr>
                <w:b/>
                <w:bCs/>
                <w:lang w:val="ru-RU"/>
              </w:rPr>
            </w:pPr>
            <w:r w:rsidRPr="00AF6927">
              <w:rPr>
                <w:b/>
                <w:bCs/>
                <w:lang w:val="ru-RU"/>
              </w:rPr>
              <w:t>Ko‘rsatkich</w:t>
            </w:r>
          </w:p>
        </w:tc>
        <w:tc>
          <w:tcPr>
            <w:tcW w:w="573" w:type="pct"/>
            <w:shd w:val="clear" w:color="auto" w:fill="BDD6EE" w:themeFill="accent1" w:themeFillTint="66"/>
            <w:vAlign w:val="center"/>
            <w:hideMark/>
          </w:tcPr>
          <w:p w14:paraId="059C2B36" w14:textId="77777777" w:rsidR="00AF6927" w:rsidRPr="00AF6927" w:rsidRDefault="00AF6927" w:rsidP="00985072">
            <w:pPr>
              <w:spacing w:line="276" w:lineRule="auto"/>
              <w:jc w:val="center"/>
              <w:rPr>
                <w:b/>
                <w:bCs/>
                <w:lang w:val="ru-RU"/>
              </w:rPr>
            </w:pPr>
            <w:r w:rsidRPr="00AF6927">
              <w:rPr>
                <w:b/>
                <w:bCs/>
                <w:lang w:val="ru-RU"/>
              </w:rPr>
              <w:t>2019</w:t>
            </w:r>
          </w:p>
        </w:tc>
        <w:tc>
          <w:tcPr>
            <w:tcW w:w="573" w:type="pct"/>
            <w:shd w:val="clear" w:color="auto" w:fill="BDD6EE" w:themeFill="accent1" w:themeFillTint="66"/>
            <w:vAlign w:val="center"/>
            <w:hideMark/>
          </w:tcPr>
          <w:p w14:paraId="53325C61" w14:textId="77777777" w:rsidR="00AF6927" w:rsidRPr="00AF6927" w:rsidRDefault="00AF6927" w:rsidP="00985072">
            <w:pPr>
              <w:spacing w:line="276" w:lineRule="auto"/>
              <w:jc w:val="center"/>
              <w:rPr>
                <w:b/>
                <w:bCs/>
                <w:lang w:val="ru-RU"/>
              </w:rPr>
            </w:pPr>
            <w:r w:rsidRPr="00AF6927">
              <w:rPr>
                <w:b/>
                <w:bCs/>
                <w:lang w:val="ru-RU"/>
              </w:rPr>
              <w:t>2020</w:t>
            </w:r>
          </w:p>
        </w:tc>
        <w:tc>
          <w:tcPr>
            <w:tcW w:w="492" w:type="pct"/>
            <w:shd w:val="clear" w:color="auto" w:fill="BDD6EE" w:themeFill="accent1" w:themeFillTint="66"/>
            <w:vAlign w:val="center"/>
            <w:hideMark/>
          </w:tcPr>
          <w:p w14:paraId="4E0EE40F" w14:textId="77777777" w:rsidR="00AF6927" w:rsidRPr="00AF6927" w:rsidRDefault="00AF6927" w:rsidP="00985072">
            <w:pPr>
              <w:spacing w:line="276" w:lineRule="auto"/>
              <w:jc w:val="center"/>
              <w:rPr>
                <w:b/>
                <w:bCs/>
                <w:lang w:val="ru-RU"/>
              </w:rPr>
            </w:pPr>
            <w:r w:rsidRPr="00AF6927">
              <w:rPr>
                <w:b/>
                <w:bCs/>
                <w:lang w:val="ru-RU"/>
              </w:rPr>
              <w:t>2021</w:t>
            </w:r>
          </w:p>
        </w:tc>
        <w:tc>
          <w:tcPr>
            <w:tcW w:w="573" w:type="pct"/>
            <w:shd w:val="clear" w:color="auto" w:fill="BDD6EE" w:themeFill="accent1" w:themeFillTint="66"/>
            <w:vAlign w:val="center"/>
            <w:hideMark/>
          </w:tcPr>
          <w:p w14:paraId="2C4FDFBA" w14:textId="77777777" w:rsidR="00AF6927" w:rsidRPr="00AF6927" w:rsidRDefault="00AF6927" w:rsidP="00985072">
            <w:pPr>
              <w:spacing w:line="276" w:lineRule="auto"/>
              <w:jc w:val="center"/>
              <w:rPr>
                <w:b/>
                <w:bCs/>
                <w:lang w:val="ru-RU"/>
              </w:rPr>
            </w:pPr>
            <w:r w:rsidRPr="00AF6927">
              <w:rPr>
                <w:b/>
                <w:bCs/>
                <w:lang w:val="ru-RU"/>
              </w:rPr>
              <w:t>2022</w:t>
            </w:r>
          </w:p>
        </w:tc>
        <w:tc>
          <w:tcPr>
            <w:tcW w:w="573" w:type="pct"/>
            <w:shd w:val="clear" w:color="auto" w:fill="BDD6EE" w:themeFill="accent1" w:themeFillTint="66"/>
            <w:vAlign w:val="center"/>
            <w:hideMark/>
          </w:tcPr>
          <w:p w14:paraId="0F46B8F7" w14:textId="77777777" w:rsidR="00AF6927" w:rsidRPr="00AF6927" w:rsidRDefault="00AF6927" w:rsidP="00985072">
            <w:pPr>
              <w:spacing w:line="276" w:lineRule="auto"/>
              <w:jc w:val="center"/>
              <w:rPr>
                <w:b/>
                <w:bCs/>
                <w:lang w:val="ru-RU"/>
              </w:rPr>
            </w:pPr>
            <w:r w:rsidRPr="00AF6927">
              <w:rPr>
                <w:b/>
                <w:bCs/>
                <w:lang w:val="ru-RU"/>
              </w:rPr>
              <w:t>2023</w:t>
            </w:r>
          </w:p>
        </w:tc>
      </w:tr>
      <w:tr w:rsidR="00AF6927" w:rsidRPr="00AF6927" w14:paraId="0F4F8FC3" w14:textId="77777777" w:rsidTr="00AF6927">
        <w:tc>
          <w:tcPr>
            <w:tcW w:w="2217" w:type="pct"/>
            <w:vAlign w:val="center"/>
            <w:hideMark/>
          </w:tcPr>
          <w:p w14:paraId="5C27F958" w14:textId="77777777" w:rsidR="00AF6927" w:rsidRPr="00AF6927" w:rsidRDefault="00AF6927" w:rsidP="00985072">
            <w:pPr>
              <w:spacing w:line="276" w:lineRule="auto"/>
              <w:jc w:val="center"/>
              <w:rPr>
                <w:lang w:val="ru-RU"/>
              </w:rPr>
            </w:pPr>
            <w:r w:rsidRPr="00AF6927">
              <w:rPr>
                <w:lang w:val="ru-RU"/>
              </w:rPr>
              <w:t>Mijozlar soni (mln)</w:t>
            </w:r>
          </w:p>
        </w:tc>
        <w:tc>
          <w:tcPr>
            <w:tcW w:w="573" w:type="pct"/>
            <w:vAlign w:val="center"/>
            <w:hideMark/>
          </w:tcPr>
          <w:p w14:paraId="04958854" w14:textId="77777777" w:rsidR="00AF6927" w:rsidRPr="00AF6927" w:rsidRDefault="00AF6927" w:rsidP="00985072">
            <w:pPr>
              <w:spacing w:line="276" w:lineRule="auto"/>
              <w:jc w:val="center"/>
              <w:rPr>
                <w:lang w:val="ru-RU"/>
              </w:rPr>
            </w:pPr>
            <w:r w:rsidRPr="00AF6927">
              <w:rPr>
                <w:lang w:val="ru-RU"/>
              </w:rPr>
              <w:t>8,31</w:t>
            </w:r>
          </w:p>
        </w:tc>
        <w:tc>
          <w:tcPr>
            <w:tcW w:w="573" w:type="pct"/>
            <w:vAlign w:val="center"/>
            <w:hideMark/>
          </w:tcPr>
          <w:p w14:paraId="779BAC72" w14:textId="77777777" w:rsidR="00AF6927" w:rsidRPr="00AF6927" w:rsidRDefault="00AF6927" w:rsidP="00985072">
            <w:pPr>
              <w:spacing w:line="276" w:lineRule="auto"/>
              <w:jc w:val="center"/>
              <w:rPr>
                <w:lang w:val="ru-RU"/>
              </w:rPr>
            </w:pPr>
            <w:r w:rsidRPr="00AF6927">
              <w:rPr>
                <w:lang w:val="ru-RU"/>
              </w:rPr>
              <w:t>9,31</w:t>
            </w:r>
          </w:p>
        </w:tc>
        <w:tc>
          <w:tcPr>
            <w:tcW w:w="492" w:type="pct"/>
            <w:vAlign w:val="center"/>
            <w:hideMark/>
          </w:tcPr>
          <w:p w14:paraId="2A337884" w14:textId="77777777" w:rsidR="00AF6927" w:rsidRPr="00AF6927" w:rsidRDefault="00AF6927" w:rsidP="00985072">
            <w:pPr>
              <w:spacing w:line="276" w:lineRule="auto"/>
              <w:jc w:val="center"/>
              <w:rPr>
                <w:lang w:val="ru-RU"/>
              </w:rPr>
            </w:pPr>
            <w:r w:rsidRPr="00AF6927">
              <w:rPr>
                <w:lang w:val="ru-RU"/>
              </w:rPr>
              <w:t>9,38</w:t>
            </w:r>
          </w:p>
        </w:tc>
        <w:tc>
          <w:tcPr>
            <w:tcW w:w="573" w:type="pct"/>
            <w:vAlign w:val="center"/>
            <w:hideMark/>
          </w:tcPr>
          <w:p w14:paraId="13A33766" w14:textId="77777777" w:rsidR="00AF6927" w:rsidRPr="00AF6927" w:rsidRDefault="00AF6927" w:rsidP="00985072">
            <w:pPr>
              <w:spacing w:line="276" w:lineRule="auto"/>
              <w:jc w:val="center"/>
              <w:rPr>
                <w:lang w:val="ru-RU"/>
              </w:rPr>
            </w:pPr>
            <w:r w:rsidRPr="00AF6927">
              <w:rPr>
                <w:lang w:val="ru-RU"/>
              </w:rPr>
              <w:t>9,93</w:t>
            </w:r>
          </w:p>
        </w:tc>
        <w:tc>
          <w:tcPr>
            <w:tcW w:w="573" w:type="pct"/>
            <w:vAlign w:val="center"/>
            <w:hideMark/>
          </w:tcPr>
          <w:p w14:paraId="7790F68E" w14:textId="77777777" w:rsidR="00AF6927" w:rsidRPr="00AF6927" w:rsidRDefault="00AF6927" w:rsidP="00985072">
            <w:pPr>
              <w:spacing w:line="276" w:lineRule="auto"/>
              <w:jc w:val="center"/>
              <w:rPr>
                <w:lang w:val="ru-RU"/>
              </w:rPr>
            </w:pPr>
            <w:r w:rsidRPr="00AF6927">
              <w:rPr>
                <w:lang w:val="ru-RU"/>
              </w:rPr>
              <w:t>10,36</w:t>
            </w:r>
          </w:p>
        </w:tc>
      </w:tr>
      <w:tr w:rsidR="00AF6927" w:rsidRPr="00AF6927" w14:paraId="35B645BD" w14:textId="77777777" w:rsidTr="00AF6927">
        <w:tc>
          <w:tcPr>
            <w:tcW w:w="2217" w:type="pct"/>
            <w:vAlign w:val="center"/>
            <w:hideMark/>
          </w:tcPr>
          <w:p w14:paraId="7A4AEE26" w14:textId="77777777" w:rsidR="00AF6927" w:rsidRPr="00AF6927" w:rsidRDefault="00AF6927" w:rsidP="00985072">
            <w:pPr>
              <w:spacing w:line="276" w:lineRule="auto"/>
              <w:jc w:val="center"/>
            </w:pPr>
            <w:r w:rsidRPr="00AF6927">
              <w:t>Qarz oluvchilar soni (mln kishi)</w:t>
            </w:r>
          </w:p>
        </w:tc>
        <w:tc>
          <w:tcPr>
            <w:tcW w:w="573" w:type="pct"/>
            <w:vAlign w:val="center"/>
            <w:hideMark/>
          </w:tcPr>
          <w:p w14:paraId="279F1E7E" w14:textId="77777777" w:rsidR="00AF6927" w:rsidRPr="00AF6927" w:rsidRDefault="00AF6927" w:rsidP="00985072">
            <w:pPr>
              <w:spacing w:line="276" w:lineRule="auto"/>
              <w:jc w:val="center"/>
              <w:rPr>
                <w:lang w:val="ru-RU"/>
              </w:rPr>
            </w:pPr>
            <w:r w:rsidRPr="00AF6927">
              <w:rPr>
                <w:lang w:val="ru-RU"/>
              </w:rPr>
              <w:t>8,31</w:t>
            </w:r>
          </w:p>
        </w:tc>
        <w:tc>
          <w:tcPr>
            <w:tcW w:w="573" w:type="pct"/>
            <w:vAlign w:val="center"/>
            <w:hideMark/>
          </w:tcPr>
          <w:p w14:paraId="1E6196D3" w14:textId="77777777" w:rsidR="00AF6927" w:rsidRPr="00AF6927" w:rsidRDefault="00AF6927" w:rsidP="00985072">
            <w:pPr>
              <w:spacing w:line="276" w:lineRule="auto"/>
              <w:jc w:val="center"/>
              <w:rPr>
                <w:lang w:val="ru-RU"/>
              </w:rPr>
            </w:pPr>
            <w:r w:rsidRPr="00AF6927">
              <w:rPr>
                <w:lang w:val="ru-RU"/>
              </w:rPr>
              <w:t>8,32</w:t>
            </w:r>
          </w:p>
        </w:tc>
        <w:tc>
          <w:tcPr>
            <w:tcW w:w="492" w:type="pct"/>
            <w:vAlign w:val="center"/>
            <w:hideMark/>
          </w:tcPr>
          <w:p w14:paraId="20E3E855" w14:textId="77777777" w:rsidR="00AF6927" w:rsidRPr="00AF6927" w:rsidRDefault="00AF6927" w:rsidP="00985072">
            <w:pPr>
              <w:spacing w:line="276" w:lineRule="auto"/>
              <w:jc w:val="center"/>
              <w:rPr>
                <w:lang w:val="ru-RU"/>
              </w:rPr>
            </w:pPr>
            <w:r w:rsidRPr="00AF6927">
              <w:rPr>
                <w:lang w:val="ru-RU"/>
              </w:rPr>
              <w:t>6,54</w:t>
            </w:r>
          </w:p>
        </w:tc>
        <w:tc>
          <w:tcPr>
            <w:tcW w:w="573" w:type="pct"/>
            <w:vAlign w:val="center"/>
            <w:hideMark/>
          </w:tcPr>
          <w:p w14:paraId="6254C9E3" w14:textId="77777777" w:rsidR="00AF6927" w:rsidRPr="00AF6927" w:rsidRDefault="00AF6927" w:rsidP="00985072">
            <w:pPr>
              <w:spacing w:line="276" w:lineRule="auto"/>
              <w:jc w:val="center"/>
              <w:rPr>
                <w:lang w:val="ru-RU"/>
              </w:rPr>
            </w:pPr>
            <w:r w:rsidRPr="00AF6927">
              <w:rPr>
                <w:lang w:val="ru-RU"/>
              </w:rPr>
              <w:t>6,84</w:t>
            </w:r>
          </w:p>
        </w:tc>
        <w:tc>
          <w:tcPr>
            <w:tcW w:w="573" w:type="pct"/>
            <w:vAlign w:val="center"/>
            <w:hideMark/>
          </w:tcPr>
          <w:p w14:paraId="69D1EE77" w14:textId="77777777" w:rsidR="00AF6927" w:rsidRPr="00AF6927" w:rsidRDefault="00AF6927" w:rsidP="00985072">
            <w:pPr>
              <w:spacing w:line="276" w:lineRule="auto"/>
              <w:jc w:val="center"/>
              <w:rPr>
                <w:lang w:val="ru-RU"/>
              </w:rPr>
            </w:pPr>
            <w:r w:rsidRPr="00AF6927">
              <w:rPr>
                <w:lang w:val="ru-RU"/>
              </w:rPr>
              <w:t>7,16</w:t>
            </w:r>
          </w:p>
        </w:tc>
      </w:tr>
      <w:tr w:rsidR="00AF6927" w:rsidRPr="00AF6927" w14:paraId="3904486E" w14:textId="77777777" w:rsidTr="00AF6927">
        <w:tc>
          <w:tcPr>
            <w:tcW w:w="2217" w:type="pct"/>
            <w:vAlign w:val="center"/>
            <w:hideMark/>
          </w:tcPr>
          <w:p w14:paraId="2C9E3CD4" w14:textId="77777777" w:rsidR="00AF6927" w:rsidRPr="00AF6927" w:rsidRDefault="00AF6927" w:rsidP="00985072">
            <w:pPr>
              <w:spacing w:line="276" w:lineRule="auto"/>
              <w:jc w:val="center"/>
            </w:pPr>
            <w:r w:rsidRPr="00AF6927">
              <w:t>Qarz qoldig‘i (mlrd BDT)</w:t>
            </w:r>
          </w:p>
        </w:tc>
        <w:tc>
          <w:tcPr>
            <w:tcW w:w="573" w:type="pct"/>
            <w:vAlign w:val="center"/>
            <w:hideMark/>
          </w:tcPr>
          <w:p w14:paraId="4D904A56" w14:textId="77777777" w:rsidR="00AF6927" w:rsidRPr="00AF6927" w:rsidRDefault="00AF6927" w:rsidP="00985072">
            <w:pPr>
              <w:spacing w:line="276" w:lineRule="auto"/>
              <w:jc w:val="center"/>
              <w:rPr>
                <w:lang w:val="ru-RU"/>
              </w:rPr>
            </w:pPr>
            <w:r w:rsidRPr="00AF6927">
              <w:rPr>
                <w:lang w:val="ru-RU"/>
              </w:rPr>
              <w:t>158,51</w:t>
            </w:r>
          </w:p>
        </w:tc>
        <w:tc>
          <w:tcPr>
            <w:tcW w:w="573" w:type="pct"/>
            <w:vAlign w:val="center"/>
            <w:hideMark/>
          </w:tcPr>
          <w:p w14:paraId="33809D5C" w14:textId="77777777" w:rsidR="00AF6927" w:rsidRPr="00AF6927" w:rsidRDefault="00AF6927" w:rsidP="00985072">
            <w:pPr>
              <w:spacing w:line="276" w:lineRule="auto"/>
              <w:jc w:val="center"/>
              <w:rPr>
                <w:lang w:val="ru-RU"/>
              </w:rPr>
            </w:pPr>
            <w:r w:rsidRPr="00AF6927">
              <w:rPr>
                <w:lang w:val="ru-RU"/>
              </w:rPr>
              <w:t>158,62</w:t>
            </w:r>
          </w:p>
        </w:tc>
        <w:tc>
          <w:tcPr>
            <w:tcW w:w="492" w:type="pct"/>
            <w:vAlign w:val="center"/>
            <w:hideMark/>
          </w:tcPr>
          <w:p w14:paraId="68219D46" w14:textId="77777777" w:rsidR="00AF6927" w:rsidRPr="00AF6927" w:rsidRDefault="00AF6927" w:rsidP="00985072">
            <w:pPr>
              <w:spacing w:line="276" w:lineRule="auto"/>
              <w:jc w:val="center"/>
              <w:rPr>
                <w:lang w:val="ru-RU"/>
              </w:rPr>
            </w:pPr>
            <w:r w:rsidRPr="00AF6927">
              <w:rPr>
                <w:lang w:val="ru-RU"/>
              </w:rPr>
              <w:t>142,6</w:t>
            </w:r>
          </w:p>
        </w:tc>
        <w:tc>
          <w:tcPr>
            <w:tcW w:w="573" w:type="pct"/>
            <w:vAlign w:val="center"/>
            <w:hideMark/>
          </w:tcPr>
          <w:p w14:paraId="6C9B71E0" w14:textId="77777777" w:rsidR="00AF6927" w:rsidRPr="00AF6927" w:rsidRDefault="00AF6927" w:rsidP="00985072">
            <w:pPr>
              <w:spacing w:line="276" w:lineRule="auto"/>
              <w:jc w:val="center"/>
              <w:rPr>
                <w:lang w:val="ru-RU"/>
              </w:rPr>
            </w:pPr>
            <w:r w:rsidRPr="00AF6927">
              <w:rPr>
                <w:lang w:val="ru-RU"/>
              </w:rPr>
              <w:t>145,95</w:t>
            </w:r>
          </w:p>
        </w:tc>
        <w:tc>
          <w:tcPr>
            <w:tcW w:w="573" w:type="pct"/>
            <w:vAlign w:val="center"/>
            <w:hideMark/>
          </w:tcPr>
          <w:p w14:paraId="226C8A59" w14:textId="77777777" w:rsidR="00AF6927" w:rsidRPr="00AF6927" w:rsidRDefault="00AF6927" w:rsidP="00985072">
            <w:pPr>
              <w:spacing w:line="276" w:lineRule="auto"/>
              <w:jc w:val="center"/>
              <w:rPr>
                <w:lang w:val="ru-RU"/>
              </w:rPr>
            </w:pPr>
            <w:r w:rsidRPr="00AF6927">
              <w:rPr>
                <w:lang w:val="ru-RU"/>
              </w:rPr>
              <w:t>161,50</w:t>
            </w:r>
          </w:p>
        </w:tc>
      </w:tr>
      <w:tr w:rsidR="00AF6927" w:rsidRPr="00AF6927" w14:paraId="58E4407A" w14:textId="77777777" w:rsidTr="00AF6927">
        <w:tc>
          <w:tcPr>
            <w:tcW w:w="2217" w:type="pct"/>
            <w:vAlign w:val="center"/>
            <w:hideMark/>
          </w:tcPr>
          <w:p w14:paraId="745B8477" w14:textId="77777777" w:rsidR="00AF6927" w:rsidRPr="00AF6927" w:rsidRDefault="00AF6927" w:rsidP="00985072">
            <w:pPr>
              <w:spacing w:line="276" w:lineRule="auto"/>
              <w:jc w:val="center"/>
              <w:rPr>
                <w:lang w:val="ru-RU"/>
              </w:rPr>
            </w:pPr>
            <w:r w:rsidRPr="00AF6927">
              <w:rPr>
                <w:lang w:val="ru-RU"/>
              </w:rPr>
              <w:t>Jamg‘armalar (mlrd BDT)</w:t>
            </w:r>
          </w:p>
        </w:tc>
        <w:tc>
          <w:tcPr>
            <w:tcW w:w="573" w:type="pct"/>
            <w:vAlign w:val="center"/>
            <w:hideMark/>
          </w:tcPr>
          <w:p w14:paraId="75F5C7A2" w14:textId="77777777" w:rsidR="00AF6927" w:rsidRPr="00AF6927" w:rsidRDefault="00AF6927" w:rsidP="00985072">
            <w:pPr>
              <w:spacing w:line="276" w:lineRule="auto"/>
              <w:jc w:val="center"/>
              <w:rPr>
                <w:lang w:val="ru-RU"/>
              </w:rPr>
            </w:pPr>
            <w:r w:rsidRPr="00AF6927">
              <w:rPr>
                <w:lang w:val="ru-RU"/>
              </w:rPr>
              <w:t>210,31</w:t>
            </w:r>
          </w:p>
        </w:tc>
        <w:tc>
          <w:tcPr>
            <w:tcW w:w="573" w:type="pct"/>
            <w:vAlign w:val="center"/>
            <w:hideMark/>
          </w:tcPr>
          <w:p w14:paraId="70F87C2C" w14:textId="77777777" w:rsidR="00AF6927" w:rsidRPr="00AF6927" w:rsidRDefault="00AF6927" w:rsidP="00985072">
            <w:pPr>
              <w:spacing w:line="276" w:lineRule="auto"/>
              <w:jc w:val="center"/>
              <w:rPr>
                <w:lang w:val="ru-RU"/>
              </w:rPr>
            </w:pPr>
            <w:r w:rsidRPr="00AF6927">
              <w:rPr>
                <w:lang w:val="ru-RU"/>
              </w:rPr>
              <w:t>232,48</w:t>
            </w:r>
          </w:p>
        </w:tc>
        <w:tc>
          <w:tcPr>
            <w:tcW w:w="492" w:type="pct"/>
            <w:vAlign w:val="center"/>
            <w:hideMark/>
          </w:tcPr>
          <w:p w14:paraId="07C09A9A" w14:textId="77777777" w:rsidR="00AF6927" w:rsidRPr="00AF6927" w:rsidRDefault="00AF6927" w:rsidP="00985072">
            <w:pPr>
              <w:spacing w:line="276" w:lineRule="auto"/>
              <w:jc w:val="center"/>
              <w:rPr>
                <w:lang w:val="ru-RU"/>
              </w:rPr>
            </w:pPr>
            <w:r w:rsidRPr="00AF6927">
              <w:rPr>
                <w:lang w:val="ru-RU"/>
              </w:rPr>
              <w:t>158,8</w:t>
            </w:r>
          </w:p>
        </w:tc>
        <w:tc>
          <w:tcPr>
            <w:tcW w:w="573" w:type="pct"/>
            <w:vAlign w:val="center"/>
            <w:hideMark/>
          </w:tcPr>
          <w:p w14:paraId="02F7A7BE" w14:textId="77777777" w:rsidR="00AF6927" w:rsidRPr="00AF6927" w:rsidRDefault="00AF6927" w:rsidP="00985072">
            <w:pPr>
              <w:spacing w:line="276" w:lineRule="auto"/>
              <w:jc w:val="center"/>
              <w:rPr>
                <w:lang w:val="ru-RU"/>
              </w:rPr>
            </w:pPr>
            <w:r w:rsidRPr="00AF6927">
              <w:rPr>
                <w:lang w:val="ru-RU"/>
              </w:rPr>
              <w:t>232,65</w:t>
            </w:r>
          </w:p>
        </w:tc>
        <w:tc>
          <w:tcPr>
            <w:tcW w:w="573" w:type="pct"/>
            <w:vAlign w:val="center"/>
            <w:hideMark/>
          </w:tcPr>
          <w:p w14:paraId="71EAD46D" w14:textId="77777777" w:rsidR="00AF6927" w:rsidRPr="00AF6927" w:rsidRDefault="00AF6927" w:rsidP="00985072">
            <w:pPr>
              <w:spacing w:line="276" w:lineRule="auto"/>
              <w:jc w:val="center"/>
              <w:rPr>
                <w:lang w:val="ru-RU"/>
              </w:rPr>
            </w:pPr>
            <w:r w:rsidRPr="00AF6927">
              <w:rPr>
                <w:lang w:val="ru-RU"/>
              </w:rPr>
              <w:t>226,82</w:t>
            </w:r>
          </w:p>
        </w:tc>
      </w:tr>
      <w:tr w:rsidR="00AF6927" w:rsidRPr="00AF6927" w14:paraId="5711EDA1" w14:textId="77777777" w:rsidTr="00AF6927">
        <w:tc>
          <w:tcPr>
            <w:tcW w:w="2217" w:type="pct"/>
            <w:vAlign w:val="center"/>
            <w:hideMark/>
          </w:tcPr>
          <w:p w14:paraId="478A61DC" w14:textId="77777777" w:rsidR="00AF6927" w:rsidRPr="00AF6927" w:rsidRDefault="00AF6927" w:rsidP="00985072">
            <w:pPr>
              <w:spacing w:line="276" w:lineRule="auto"/>
              <w:jc w:val="center"/>
              <w:rPr>
                <w:lang w:val="ru-RU"/>
              </w:rPr>
            </w:pPr>
            <w:r w:rsidRPr="00AF6927">
              <w:rPr>
                <w:lang w:val="ru-RU"/>
              </w:rPr>
              <w:t>Berilgan kredit (mlrd BDT)</w:t>
            </w:r>
          </w:p>
        </w:tc>
        <w:tc>
          <w:tcPr>
            <w:tcW w:w="573" w:type="pct"/>
            <w:vAlign w:val="center"/>
            <w:hideMark/>
          </w:tcPr>
          <w:p w14:paraId="22D91116" w14:textId="77777777" w:rsidR="00AF6927" w:rsidRPr="00AF6927" w:rsidRDefault="00AF6927" w:rsidP="00985072">
            <w:pPr>
              <w:spacing w:line="276" w:lineRule="auto"/>
              <w:jc w:val="center"/>
              <w:rPr>
                <w:lang w:val="ru-RU"/>
              </w:rPr>
            </w:pPr>
            <w:r w:rsidRPr="00AF6927">
              <w:rPr>
                <w:lang w:val="ru-RU"/>
              </w:rPr>
              <w:t>251,37</w:t>
            </w:r>
          </w:p>
        </w:tc>
        <w:tc>
          <w:tcPr>
            <w:tcW w:w="573" w:type="pct"/>
            <w:vAlign w:val="center"/>
            <w:hideMark/>
          </w:tcPr>
          <w:p w14:paraId="7C713C80" w14:textId="77777777" w:rsidR="00AF6927" w:rsidRPr="00AF6927" w:rsidRDefault="00AF6927" w:rsidP="00985072">
            <w:pPr>
              <w:spacing w:line="276" w:lineRule="auto"/>
              <w:jc w:val="center"/>
              <w:rPr>
                <w:lang w:val="ru-RU"/>
              </w:rPr>
            </w:pPr>
            <w:r w:rsidRPr="00AF6927">
              <w:rPr>
                <w:lang w:val="ru-RU"/>
              </w:rPr>
              <w:t>252,2</w:t>
            </w:r>
          </w:p>
        </w:tc>
        <w:tc>
          <w:tcPr>
            <w:tcW w:w="492" w:type="pct"/>
            <w:vAlign w:val="center"/>
            <w:hideMark/>
          </w:tcPr>
          <w:p w14:paraId="1F2AED98" w14:textId="77777777" w:rsidR="00AF6927" w:rsidRPr="00AF6927" w:rsidRDefault="00AF6927" w:rsidP="00985072">
            <w:pPr>
              <w:spacing w:line="276" w:lineRule="auto"/>
              <w:jc w:val="center"/>
              <w:rPr>
                <w:lang w:val="ru-RU"/>
              </w:rPr>
            </w:pPr>
            <w:r w:rsidRPr="00AF6927">
              <w:rPr>
                <w:lang w:val="ru-RU"/>
              </w:rPr>
              <w:t>195,5</w:t>
            </w:r>
          </w:p>
        </w:tc>
        <w:tc>
          <w:tcPr>
            <w:tcW w:w="573" w:type="pct"/>
            <w:vAlign w:val="center"/>
            <w:hideMark/>
          </w:tcPr>
          <w:p w14:paraId="4CE993B2" w14:textId="77777777" w:rsidR="00AF6927" w:rsidRPr="00AF6927" w:rsidRDefault="00AF6927" w:rsidP="00985072">
            <w:pPr>
              <w:spacing w:line="276" w:lineRule="auto"/>
              <w:jc w:val="center"/>
              <w:rPr>
                <w:lang w:val="ru-RU"/>
              </w:rPr>
            </w:pPr>
            <w:r w:rsidRPr="00AF6927">
              <w:rPr>
                <w:lang w:val="ru-RU"/>
              </w:rPr>
              <w:t>206,57</w:t>
            </w:r>
          </w:p>
        </w:tc>
        <w:tc>
          <w:tcPr>
            <w:tcW w:w="573" w:type="pct"/>
            <w:vAlign w:val="center"/>
            <w:hideMark/>
          </w:tcPr>
          <w:p w14:paraId="37D3E556" w14:textId="77777777" w:rsidR="00AF6927" w:rsidRPr="00AF6927" w:rsidRDefault="00AF6927" w:rsidP="00985072">
            <w:pPr>
              <w:spacing w:line="276" w:lineRule="auto"/>
              <w:jc w:val="center"/>
              <w:rPr>
                <w:lang w:val="ru-RU"/>
              </w:rPr>
            </w:pPr>
            <w:r w:rsidRPr="00AF6927">
              <w:rPr>
                <w:lang w:val="ru-RU"/>
              </w:rPr>
              <w:t>247,57</w:t>
            </w:r>
          </w:p>
        </w:tc>
      </w:tr>
    </w:tbl>
    <w:p w14:paraId="75D72707" w14:textId="77777777" w:rsidR="00985072" w:rsidRDefault="00985072" w:rsidP="00985072">
      <w:pPr>
        <w:spacing w:after="0" w:line="276" w:lineRule="auto"/>
        <w:ind w:firstLine="709"/>
        <w:jc w:val="both"/>
      </w:pPr>
    </w:p>
    <w:p w14:paraId="00FF9010" w14:textId="63ACC38F" w:rsidR="00AF6927" w:rsidRPr="00AF6927" w:rsidRDefault="00AF6927" w:rsidP="00985072">
      <w:pPr>
        <w:spacing w:after="0" w:line="276" w:lineRule="auto"/>
        <w:ind w:firstLine="709"/>
        <w:jc w:val="both"/>
      </w:pPr>
      <w:r w:rsidRPr="004266E1">
        <w:t>3-</w:t>
      </w:r>
      <w:r>
        <w:t>jadval</w:t>
      </w:r>
      <w:r w:rsidRPr="00AF6927">
        <w:t>dan</w:t>
      </w:r>
      <w:r w:rsidRPr="004266E1">
        <w:t xml:space="preserve"> </w:t>
      </w:r>
      <w:r w:rsidRPr="00AF6927">
        <w:t>ko</w:t>
      </w:r>
      <w:r w:rsidRPr="004266E1">
        <w:t>‘</w:t>
      </w:r>
      <w:r w:rsidRPr="00AF6927">
        <w:t>rinib</w:t>
      </w:r>
      <w:r w:rsidRPr="004266E1">
        <w:t xml:space="preserve"> </w:t>
      </w:r>
      <w:r w:rsidRPr="00AF6927">
        <w:t>turibdiki</w:t>
      </w:r>
      <w:r w:rsidRPr="004266E1">
        <w:t xml:space="preserve">, </w:t>
      </w:r>
      <w:r w:rsidRPr="00AF6927">
        <w:t>Grameen</w:t>
      </w:r>
      <w:r w:rsidRPr="004266E1">
        <w:t xml:space="preserve"> </w:t>
      </w:r>
      <w:r w:rsidRPr="00AF6927">
        <w:t>Bank</w:t>
      </w:r>
      <w:r w:rsidRPr="004266E1">
        <w:t xml:space="preserve"> </w:t>
      </w:r>
      <w:r w:rsidRPr="00AF6927">
        <w:t>mijozlar</w:t>
      </w:r>
      <w:r w:rsidRPr="004266E1">
        <w:t xml:space="preserve"> </w:t>
      </w:r>
      <w:r w:rsidRPr="00AF6927">
        <w:t>sonini</w:t>
      </w:r>
      <w:r w:rsidRPr="004266E1">
        <w:t xml:space="preserve"> </w:t>
      </w:r>
      <w:r>
        <w:t>so</w:t>
      </w:r>
      <w:r w:rsidRPr="004266E1">
        <w:t>‘</w:t>
      </w:r>
      <w:r>
        <w:t>nggi</w:t>
      </w:r>
      <w:r w:rsidRPr="004266E1">
        <w:t xml:space="preserve"> </w:t>
      </w:r>
      <w:r>
        <w:t>besh</w:t>
      </w:r>
      <w:r w:rsidRPr="004266E1">
        <w:t xml:space="preserve"> </w:t>
      </w:r>
      <w:r>
        <w:t>yillikda</w:t>
      </w:r>
      <w:r w:rsidRPr="004266E1">
        <w:t xml:space="preserve"> </w:t>
      </w:r>
      <w:r>
        <w:t>barqaror</w:t>
      </w:r>
      <w:r w:rsidRPr="004266E1">
        <w:t xml:space="preserve"> </w:t>
      </w:r>
      <w:r>
        <w:t>o</w:t>
      </w:r>
      <w:r w:rsidRPr="004266E1">
        <w:t>‘</w:t>
      </w:r>
      <w:r>
        <w:t>sib</w:t>
      </w:r>
      <w:r w:rsidRPr="004266E1">
        <w:t xml:space="preserve"> </w:t>
      </w:r>
      <w:r>
        <w:t>kelmoqda</w:t>
      </w:r>
      <w:r w:rsidRPr="004266E1">
        <w:t>, 2019-</w:t>
      </w:r>
      <w:r w:rsidRPr="00AF6927">
        <w:t>yildagi</w:t>
      </w:r>
      <w:r w:rsidRPr="004266E1">
        <w:t xml:space="preserve"> 8,31 </w:t>
      </w:r>
      <w:r w:rsidRPr="00AF6927">
        <w:t>milliondan</w:t>
      </w:r>
      <w:r w:rsidRPr="004266E1">
        <w:t xml:space="preserve"> 2023-</w:t>
      </w:r>
      <w:r w:rsidRPr="00AF6927">
        <w:t>yilda</w:t>
      </w:r>
      <w:r w:rsidRPr="004266E1">
        <w:t xml:space="preserve"> 10,36 </w:t>
      </w:r>
      <w:r w:rsidRPr="00AF6927">
        <w:t>milliongacha</w:t>
      </w:r>
      <w:r w:rsidRPr="004266E1">
        <w:t xml:space="preserve"> </w:t>
      </w:r>
      <w:r w:rsidRPr="00AF6927">
        <w:t>oshirgan</w:t>
      </w:r>
      <w:r w:rsidRPr="004266E1">
        <w:t xml:space="preserve">. </w:t>
      </w:r>
      <w:r w:rsidRPr="00AF6927">
        <w:t>Shu bilan birga, kredit ajratish hajmi ham 2021-yildagi pasayishdan so‘ng tiklanib, 2023-yilda 247,57 mlrd BDT ga yetgan.</w:t>
      </w:r>
    </w:p>
    <w:p w14:paraId="4D135CC2" w14:textId="77777777" w:rsidR="00AF6927" w:rsidRDefault="00AF6927" w:rsidP="00985072">
      <w:pPr>
        <w:spacing w:after="0" w:line="276" w:lineRule="auto"/>
        <w:jc w:val="right"/>
        <w:rPr>
          <w:b/>
          <w:bCs/>
        </w:rPr>
      </w:pPr>
      <w:r>
        <w:rPr>
          <w:b/>
          <w:bCs/>
        </w:rPr>
        <w:t>4</w:t>
      </w:r>
      <w:r w:rsidRPr="00AF6927">
        <w:rPr>
          <w:b/>
          <w:bCs/>
        </w:rPr>
        <w:t>-jadval.</w:t>
      </w:r>
    </w:p>
    <w:p w14:paraId="30E7A77A" w14:textId="17F3F64B" w:rsidR="00AF6927" w:rsidRPr="00AF6927" w:rsidRDefault="00AF6927" w:rsidP="00985072">
      <w:pPr>
        <w:spacing w:after="0" w:line="276" w:lineRule="auto"/>
        <w:jc w:val="center"/>
        <w:rPr>
          <w:b/>
          <w:bCs/>
        </w:rPr>
      </w:pPr>
      <w:r w:rsidRPr="00AF6927">
        <w:rPr>
          <w:b/>
          <w:bCs/>
        </w:rPr>
        <w:t xml:space="preserve">So‘nggi 5 yilda </w:t>
      </w:r>
      <w:r>
        <w:rPr>
          <w:b/>
          <w:bCs/>
        </w:rPr>
        <w:t xml:space="preserve">mikromoliya bo‘yicha Bangladesh </w:t>
      </w:r>
      <w:r w:rsidRPr="00AF6927">
        <w:rPr>
          <w:b/>
          <w:bCs/>
        </w:rPr>
        <w:t>turli davlat idoralari va dasturlarining asosiy ko‘rsatkichlari</w:t>
      </w:r>
      <w:r w:rsidR="00185793" w:rsidRPr="00185793">
        <w:rPr>
          <w:rStyle w:val="af0"/>
          <w:b/>
          <w:bCs/>
        </w:rPr>
        <w:footnoteReference w:id="17"/>
      </w:r>
    </w:p>
    <w:tbl>
      <w:tblPr>
        <w:tblStyle w:val="ac"/>
        <w:tblW w:w="5000" w:type="pct"/>
        <w:tblLook w:val="04A0" w:firstRow="1" w:lastRow="0" w:firstColumn="1" w:lastColumn="0" w:noHBand="0" w:noVBand="1"/>
      </w:tblPr>
      <w:tblGrid>
        <w:gridCol w:w="4213"/>
        <w:gridCol w:w="1026"/>
        <w:gridCol w:w="1026"/>
        <w:gridCol w:w="1026"/>
        <w:gridCol w:w="1194"/>
        <w:gridCol w:w="1194"/>
      </w:tblGrid>
      <w:tr w:rsidR="00AF6927" w:rsidRPr="00AF6927" w14:paraId="6ABADA24" w14:textId="77777777" w:rsidTr="00AF6927">
        <w:tc>
          <w:tcPr>
            <w:tcW w:w="2176" w:type="pct"/>
            <w:shd w:val="clear" w:color="auto" w:fill="BDD6EE" w:themeFill="accent1" w:themeFillTint="66"/>
            <w:vAlign w:val="center"/>
            <w:hideMark/>
          </w:tcPr>
          <w:p w14:paraId="4210C9B6" w14:textId="59F24E13" w:rsidR="00AF6927" w:rsidRPr="00AF6927" w:rsidRDefault="00AF6927" w:rsidP="00985072">
            <w:pPr>
              <w:spacing w:line="276" w:lineRule="auto"/>
              <w:jc w:val="center"/>
              <w:rPr>
                <w:b/>
                <w:bCs/>
              </w:rPr>
            </w:pPr>
            <w:r w:rsidRPr="00AF6927">
              <w:rPr>
                <w:b/>
                <w:bCs/>
                <w:lang w:val="ru-RU"/>
              </w:rPr>
              <w:t>Ko‘rsatkich</w:t>
            </w:r>
          </w:p>
        </w:tc>
        <w:tc>
          <w:tcPr>
            <w:tcW w:w="530" w:type="pct"/>
            <w:shd w:val="clear" w:color="auto" w:fill="BDD6EE" w:themeFill="accent1" w:themeFillTint="66"/>
            <w:vAlign w:val="center"/>
            <w:hideMark/>
          </w:tcPr>
          <w:p w14:paraId="19173585" w14:textId="77777777" w:rsidR="00AF6927" w:rsidRPr="00AF6927" w:rsidRDefault="00AF6927" w:rsidP="00985072">
            <w:pPr>
              <w:spacing w:line="276" w:lineRule="auto"/>
              <w:jc w:val="center"/>
              <w:rPr>
                <w:b/>
                <w:bCs/>
                <w:lang w:val="ru-RU"/>
              </w:rPr>
            </w:pPr>
            <w:r w:rsidRPr="00AF6927">
              <w:rPr>
                <w:b/>
                <w:bCs/>
                <w:lang w:val="ru-RU"/>
              </w:rPr>
              <w:t>2019</w:t>
            </w:r>
          </w:p>
        </w:tc>
        <w:tc>
          <w:tcPr>
            <w:tcW w:w="530" w:type="pct"/>
            <w:shd w:val="clear" w:color="auto" w:fill="BDD6EE" w:themeFill="accent1" w:themeFillTint="66"/>
            <w:vAlign w:val="center"/>
            <w:hideMark/>
          </w:tcPr>
          <w:p w14:paraId="2A6CE019" w14:textId="77777777" w:rsidR="00AF6927" w:rsidRPr="00AF6927" w:rsidRDefault="00AF6927" w:rsidP="00985072">
            <w:pPr>
              <w:spacing w:line="276" w:lineRule="auto"/>
              <w:jc w:val="center"/>
              <w:rPr>
                <w:b/>
                <w:bCs/>
                <w:lang w:val="ru-RU"/>
              </w:rPr>
            </w:pPr>
            <w:r w:rsidRPr="00AF6927">
              <w:rPr>
                <w:b/>
                <w:bCs/>
                <w:lang w:val="ru-RU"/>
              </w:rPr>
              <w:t>2020</w:t>
            </w:r>
          </w:p>
        </w:tc>
        <w:tc>
          <w:tcPr>
            <w:tcW w:w="530" w:type="pct"/>
            <w:shd w:val="clear" w:color="auto" w:fill="BDD6EE" w:themeFill="accent1" w:themeFillTint="66"/>
            <w:vAlign w:val="center"/>
            <w:hideMark/>
          </w:tcPr>
          <w:p w14:paraId="2DDDDC13" w14:textId="77777777" w:rsidR="00AF6927" w:rsidRPr="00AF6927" w:rsidRDefault="00AF6927" w:rsidP="00985072">
            <w:pPr>
              <w:spacing w:line="276" w:lineRule="auto"/>
              <w:jc w:val="center"/>
              <w:rPr>
                <w:b/>
                <w:bCs/>
                <w:lang w:val="ru-RU"/>
              </w:rPr>
            </w:pPr>
            <w:r w:rsidRPr="00AF6927">
              <w:rPr>
                <w:b/>
                <w:bCs/>
                <w:lang w:val="ru-RU"/>
              </w:rPr>
              <w:t>2021</w:t>
            </w:r>
          </w:p>
        </w:tc>
        <w:tc>
          <w:tcPr>
            <w:tcW w:w="617" w:type="pct"/>
            <w:shd w:val="clear" w:color="auto" w:fill="BDD6EE" w:themeFill="accent1" w:themeFillTint="66"/>
            <w:vAlign w:val="center"/>
            <w:hideMark/>
          </w:tcPr>
          <w:p w14:paraId="33509933" w14:textId="77777777" w:rsidR="00AF6927" w:rsidRPr="00AF6927" w:rsidRDefault="00AF6927" w:rsidP="00985072">
            <w:pPr>
              <w:spacing w:line="276" w:lineRule="auto"/>
              <w:jc w:val="center"/>
              <w:rPr>
                <w:b/>
                <w:bCs/>
                <w:lang w:val="ru-RU"/>
              </w:rPr>
            </w:pPr>
            <w:r w:rsidRPr="00AF6927">
              <w:rPr>
                <w:b/>
                <w:bCs/>
                <w:lang w:val="ru-RU"/>
              </w:rPr>
              <w:t>2022</w:t>
            </w:r>
          </w:p>
        </w:tc>
        <w:tc>
          <w:tcPr>
            <w:tcW w:w="617" w:type="pct"/>
            <w:shd w:val="clear" w:color="auto" w:fill="BDD6EE" w:themeFill="accent1" w:themeFillTint="66"/>
            <w:vAlign w:val="center"/>
            <w:hideMark/>
          </w:tcPr>
          <w:p w14:paraId="3611FA44" w14:textId="77777777" w:rsidR="00AF6927" w:rsidRPr="00AF6927" w:rsidRDefault="00AF6927" w:rsidP="00985072">
            <w:pPr>
              <w:spacing w:line="276" w:lineRule="auto"/>
              <w:jc w:val="center"/>
              <w:rPr>
                <w:b/>
                <w:bCs/>
                <w:lang w:val="ru-RU"/>
              </w:rPr>
            </w:pPr>
            <w:r w:rsidRPr="00AF6927">
              <w:rPr>
                <w:b/>
                <w:bCs/>
                <w:lang w:val="ru-RU"/>
              </w:rPr>
              <w:t>2023</w:t>
            </w:r>
          </w:p>
        </w:tc>
      </w:tr>
      <w:tr w:rsidR="00AF6927" w:rsidRPr="00AF6927" w14:paraId="6BE34C02" w14:textId="77777777" w:rsidTr="00AF6927">
        <w:tc>
          <w:tcPr>
            <w:tcW w:w="2176" w:type="pct"/>
            <w:vAlign w:val="center"/>
            <w:hideMark/>
          </w:tcPr>
          <w:p w14:paraId="1D4F964F" w14:textId="77777777" w:rsidR="00AF6927" w:rsidRPr="00AF6927" w:rsidRDefault="00AF6927" w:rsidP="00985072">
            <w:pPr>
              <w:spacing w:line="276" w:lineRule="auto"/>
              <w:jc w:val="center"/>
              <w:rPr>
                <w:lang w:val="ru-RU"/>
              </w:rPr>
            </w:pPr>
            <w:r w:rsidRPr="00AF6927">
              <w:rPr>
                <w:lang w:val="ru-RU"/>
              </w:rPr>
              <w:t>Mijozlar soni (mln)</w:t>
            </w:r>
          </w:p>
        </w:tc>
        <w:tc>
          <w:tcPr>
            <w:tcW w:w="530" w:type="pct"/>
            <w:vAlign w:val="center"/>
            <w:hideMark/>
          </w:tcPr>
          <w:p w14:paraId="11461883" w14:textId="77777777" w:rsidR="00AF6927" w:rsidRPr="00AF6927" w:rsidRDefault="00AF6927" w:rsidP="00985072">
            <w:pPr>
              <w:spacing w:line="276" w:lineRule="auto"/>
              <w:jc w:val="center"/>
              <w:rPr>
                <w:lang w:val="ru-RU"/>
              </w:rPr>
            </w:pPr>
            <w:r w:rsidRPr="00AF6927">
              <w:rPr>
                <w:lang w:val="ru-RU"/>
              </w:rPr>
              <w:t>1,26</w:t>
            </w:r>
          </w:p>
        </w:tc>
        <w:tc>
          <w:tcPr>
            <w:tcW w:w="530" w:type="pct"/>
            <w:vAlign w:val="center"/>
            <w:hideMark/>
          </w:tcPr>
          <w:p w14:paraId="49271BD4" w14:textId="77777777" w:rsidR="00AF6927" w:rsidRPr="00AF6927" w:rsidRDefault="00AF6927" w:rsidP="00985072">
            <w:pPr>
              <w:spacing w:line="276" w:lineRule="auto"/>
              <w:jc w:val="center"/>
              <w:rPr>
                <w:lang w:val="ru-RU"/>
              </w:rPr>
            </w:pPr>
            <w:r w:rsidRPr="00AF6927">
              <w:rPr>
                <w:lang w:val="ru-RU"/>
              </w:rPr>
              <w:t>1,11</w:t>
            </w:r>
          </w:p>
        </w:tc>
        <w:tc>
          <w:tcPr>
            <w:tcW w:w="530" w:type="pct"/>
            <w:vAlign w:val="center"/>
            <w:hideMark/>
          </w:tcPr>
          <w:p w14:paraId="7C635D5E" w14:textId="77777777" w:rsidR="00AF6927" w:rsidRPr="00AF6927" w:rsidRDefault="00AF6927" w:rsidP="00985072">
            <w:pPr>
              <w:spacing w:line="276" w:lineRule="auto"/>
              <w:jc w:val="center"/>
              <w:rPr>
                <w:lang w:val="ru-RU"/>
              </w:rPr>
            </w:pPr>
            <w:r w:rsidRPr="00AF6927">
              <w:rPr>
                <w:lang w:val="ru-RU"/>
              </w:rPr>
              <w:t>1,61</w:t>
            </w:r>
          </w:p>
        </w:tc>
        <w:tc>
          <w:tcPr>
            <w:tcW w:w="617" w:type="pct"/>
            <w:vAlign w:val="center"/>
            <w:hideMark/>
          </w:tcPr>
          <w:p w14:paraId="0B01D8B0" w14:textId="77777777" w:rsidR="00AF6927" w:rsidRPr="00AF6927" w:rsidRDefault="00AF6927" w:rsidP="00985072">
            <w:pPr>
              <w:spacing w:line="276" w:lineRule="auto"/>
              <w:jc w:val="center"/>
              <w:rPr>
                <w:lang w:val="ru-RU"/>
              </w:rPr>
            </w:pPr>
            <w:r w:rsidRPr="00AF6927">
              <w:rPr>
                <w:lang w:val="ru-RU"/>
              </w:rPr>
              <w:t>16,5</w:t>
            </w:r>
          </w:p>
        </w:tc>
        <w:tc>
          <w:tcPr>
            <w:tcW w:w="617" w:type="pct"/>
            <w:vAlign w:val="center"/>
            <w:hideMark/>
          </w:tcPr>
          <w:p w14:paraId="60E27D06" w14:textId="77777777" w:rsidR="00AF6927" w:rsidRPr="00AF6927" w:rsidRDefault="00AF6927" w:rsidP="00985072">
            <w:pPr>
              <w:spacing w:line="276" w:lineRule="auto"/>
              <w:jc w:val="center"/>
              <w:rPr>
                <w:lang w:val="ru-RU"/>
              </w:rPr>
            </w:pPr>
            <w:r w:rsidRPr="00AF6927">
              <w:rPr>
                <w:lang w:val="ru-RU"/>
              </w:rPr>
              <w:t>13,29</w:t>
            </w:r>
          </w:p>
        </w:tc>
      </w:tr>
      <w:tr w:rsidR="00AF6927" w:rsidRPr="00AF6927" w14:paraId="410035B4" w14:textId="77777777" w:rsidTr="00AF6927">
        <w:tc>
          <w:tcPr>
            <w:tcW w:w="2176" w:type="pct"/>
            <w:vAlign w:val="center"/>
            <w:hideMark/>
          </w:tcPr>
          <w:p w14:paraId="09E7DA19" w14:textId="77777777" w:rsidR="00AF6927" w:rsidRPr="00AF6927" w:rsidRDefault="00AF6927" w:rsidP="00985072">
            <w:pPr>
              <w:spacing w:line="276" w:lineRule="auto"/>
              <w:jc w:val="center"/>
              <w:rPr>
                <w:lang w:val="ru-RU"/>
              </w:rPr>
            </w:pPr>
            <w:r w:rsidRPr="00AF6927">
              <w:rPr>
                <w:lang w:val="ru-RU"/>
              </w:rPr>
              <w:t>Qarz oluvchilar soni (mln)</w:t>
            </w:r>
          </w:p>
        </w:tc>
        <w:tc>
          <w:tcPr>
            <w:tcW w:w="530" w:type="pct"/>
            <w:vAlign w:val="center"/>
            <w:hideMark/>
          </w:tcPr>
          <w:p w14:paraId="1EA69DD1" w14:textId="77777777" w:rsidR="00AF6927" w:rsidRPr="00AF6927" w:rsidRDefault="00AF6927" w:rsidP="00985072">
            <w:pPr>
              <w:spacing w:line="276" w:lineRule="auto"/>
              <w:jc w:val="center"/>
              <w:rPr>
                <w:lang w:val="ru-RU"/>
              </w:rPr>
            </w:pPr>
            <w:r w:rsidRPr="00AF6927">
              <w:rPr>
                <w:lang w:val="ru-RU"/>
              </w:rPr>
              <w:t>0,87</w:t>
            </w:r>
          </w:p>
        </w:tc>
        <w:tc>
          <w:tcPr>
            <w:tcW w:w="530" w:type="pct"/>
            <w:vAlign w:val="center"/>
            <w:hideMark/>
          </w:tcPr>
          <w:p w14:paraId="79011F42" w14:textId="77777777" w:rsidR="00AF6927" w:rsidRPr="00AF6927" w:rsidRDefault="00AF6927" w:rsidP="00985072">
            <w:pPr>
              <w:spacing w:line="276" w:lineRule="auto"/>
              <w:jc w:val="center"/>
              <w:rPr>
                <w:lang w:val="ru-RU"/>
              </w:rPr>
            </w:pPr>
            <w:r w:rsidRPr="00AF6927">
              <w:rPr>
                <w:lang w:val="ru-RU"/>
              </w:rPr>
              <w:t>0,67</w:t>
            </w:r>
          </w:p>
        </w:tc>
        <w:tc>
          <w:tcPr>
            <w:tcW w:w="530" w:type="pct"/>
            <w:vAlign w:val="center"/>
            <w:hideMark/>
          </w:tcPr>
          <w:p w14:paraId="3B1919FE" w14:textId="77777777" w:rsidR="00AF6927" w:rsidRPr="00AF6927" w:rsidRDefault="00AF6927" w:rsidP="00985072">
            <w:pPr>
              <w:spacing w:line="276" w:lineRule="auto"/>
              <w:jc w:val="center"/>
              <w:rPr>
                <w:lang w:val="ru-RU"/>
              </w:rPr>
            </w:pPr>
            <w:r w:rsidRPr="00AF6927">
              <w:rPr>
                <w:lang w:val="ru-RU"/>
              </w:rPr>
              <w:t>1,16</w:t>
            </w:r>
          </w:p>
        </w:tc>
        <w:tc>
          <w:tcPr>
            <w:tcW w:w="617" w:type="pct"/>
            <w:vAlign w:val="center"/>
            <w:hideMark/>
          </w:tcPr>
          <w:p w14:paraId="4D06F838" w14:textId="77777777" w:rsidR="00AF6927" w:rsidRPr="00AF6927" w:rsidRDefault="00AF6927" w:rsidP="00985072">
            <w:pPr>
              <w:spacing w:line="276" w:lineRule="auto"/>
              <w:jc w:val="center"/>
              <w:rPr>
                <w:lang w:val="ru-RU"/>
              </w:rPr>
            </w:pPr>
            <w:r w:rsidRPr="00AF6927">
              <w:rPr>
                <w:lang w:val="ru-RU"/>
              </w:rPr>
              <w:t>7,44</w:t>
            </w:r>
          </w:p>
        </w:tc>
        <w:tc>
          <w:tcPr>
            <w:tcW w:w="617" w:type="pct"/>
            <w:vAlign w:val="center"/>
            <w:hideMark/>
          </w:tcPr>
          <w:p w14:paraId="1F6D591B" w14:textId="77777777" w:rsidR="00AF6927" w:rsidRPr="00AF6927" w:rsidRDefault="00AF6927" w:rsidP="00985072">
            <w:pPr>
              <w:spacing w:line="276" w:lineRule="auto"/>
              <w:jc w:val="center"/>
              <w:rPr>
                <w:lang w:val="ru-RU"/>
              </w:rPr>
            </w:pPr>
            <w:r w:rsidRPr="00AF6927">
              <w:rPr>
                <w:lang w:val="ru-RU"/>
              </w:rPr>
              <w:t>6,20</w:t>
            </w:r>
          </w:p>
        </w:tc>
      </w:tr>
      <w:tr w:rsidR="00AF6927" w:rsidRPr="00AF6927" w14:paraId="5003A219" w14:textId="77777777" w:rsidTr="00AF6927">
        <w:tc>
          <w:tcPr>
            <w:tcW w:w="2176" w:type="pct"/>
            <w:vAlign w:val="center"/>
            <w:hideMark/>
          </w:tcPr>
          <w:p w14:paraId="40190C83" w14:textId="18ABF1FA" w:rsidR="00AF6927" w:rsidRPr="00AF6927" w:rsidRDefault="00AF6927" w:rsidP="00985072">
            <w:pPr>
              <w:spacing w:line="276" w:lineRule="auto"/>
              <w:jc w:val="center"/>
            </w:pPr>
            <w:r w:rsidRPr="00AF6927">
              <w:t>Qarz qoldig‘i (mlrd BDT)</w:t>
            </w:r>
          </w:p>
        </w:tc>
        <w:tc>
          <w:tcPr>
            <w:tcW w:w="530" w:type="pct"/>
            <w:vAlign w:val="center"/>
            <w:hideMark/>
          </w:tcPr>
          <w:p w14:paraId="1C01DA6E" w14:textId="77777777" w:rsidR="00AF6927" w:rsidRPr="00AF6927" w:rsidRDefault="00AF6927" w:rsidP="00985072">
            <w:pPr>
              <w:spacing w:line="276" w:lineRule="auto"/>
              <w:jc w:val="center"/>
              <w:rPr>
                <w:lang w:val="ru-RU"/>
              </w:rPr>
            </w:pPr>
            <w:r w:rsidRPr="00AF6927">
              <w:rPr>
                <w:lang w:val="ru-RU"/>
              </w:rPr>
              <w:t>25,31</w:t>
            </w:r>
          </w:p>
        </w:tc>
        <w:tc>
          <w:tcPr>
            <w:tcW w:w="530" w:type="pct"/>
            <w:vAlign w:val="center"/>
            <w:hideMark/>
          </w:tcPr>
          <w:p w14:paraId="0E256377" w14:textId="77777777" w:rsidR="00AF6927" w:rsidRPr="00AF6927" w:rsidRDefault="00AF6927" w:rsidP="00985072">
            <w:pPr>
              <w:spacing w:line="276" w:lineRule="auto"/>
              <w:jc w:val="center"/>
              <w:rPr>
                <w:lang w:val="ru-RU"/>
              </w:rPr>
            </w:pPr>
            <w:r w:rsidRPr="00AF6927">
              <w:rPr>
                <w:lang w:val="ru-RU"/>
              </w:rPr>
              <w:t>24,3</w:t>
            </w:r>
          </w:p>
        </w:tc>
        <w:tc>
          <w:tcPr>
            <w:tcW w:w="530" w:type="pct"/>
            <w:vAlign w:val="center"/>
            <w:hideMark/>
          </w:tcPr>
          <w:p w14:paraId="4B6573DE" w14:textId="77777777" w:rsidR="00AF6927" w:rsidRPr="00AF6927" w:rsidRDefault="00AF6927" w:rsidP="00985072">
            <w:pPr>
              <w:spacing w:line="276" w:lineRule="auto"/>
              <w:jc w:val="center"/>
              <w:rPr>
                <w:lang w:val="ru-RU"/>
              </w:rPr>
            </w:pPr>
            <w:r w:rsidRPr="00AF6927">
              <w:rPr>
                <w:lang w:val="ru-RU"/>
              </w:rPr>
              <w:t>28,58</w:t>
            </w:r>
          </w:p>
        </w:tc>
        <w:tc>
          <w:tcPr>
            <w:tcW w:w="617" w:type="pct"/>
            <w:vAlign w:val="center"/>
            <w:hideMark/>
          </w:tcPr>
          <w:p w14:paraId="0E1AE8DD" w14:textId="77777777" w:rsidR="00AF6927" w:rsidRPr="00AF6927" w:rsidRDefault="00AF6927" w:rsidP="00985072">
            <w:pPr>
              <w:spacing w:line="276" w:lineRule="auto"/>
              <w:jc w:val="center"/>
              <w:rPr>
                <w:lang w:val="ru-RU"/>
              </w:rPr>
            </w:pPr>
            <w:r w:rsidRPr="00AF6927">
              <w:rPr>
                <w:lang w:val="ru-RU"/>
              </w:rPr>
              <w:t>142,70</w:t>
            </w:r>
          </w:p>
        </w:tc>
        <w:tc>
          <w:tcPr>
            <w:tcW w:w="617" w:type="pct"/>
            <w:vAlign w:val="center"/>
            <w:hideMark/>
          </w:tcPr>
          <w:p w14:paraId="39641843" w14:textId="77777777" w:rsidR="00AF6927" w:rsidRPr="00AF6927" w:rsidRDefault="00AF6927" w:rsidP="00985072">
            <w:pPr>
              <w:spacing w:line="276" w:lineRule="auto"/>
              <w:jc w:val="center"/>
              <w:rPr>
                <w:lang w:val="ru-RU"/>
              </w:rPr>
            </w:pPr>
            <w:r w:rsidRPr="00AF6927">
              <w:rPr>
                <w:lang w:val="ru-RU"/>
              </w:rPr>
              <w:t>121,89</w:t>
            </w:r>
          </w:p>
        </w:tc>
      </w:tr>
      <w:tr w:rsidR="00AF6927" w:rsidRPr="00AF6927" w14:paraId="26448C1B" w14:textId="77777777" w:rsidTr="00AF6927">
        <w:tc>
          <w:tcPr>
            <w:tcW w:w="2176" w:type="pct"/>
            <w:vAlign w:val="center"/>
            <w:hideMark/>
          </w:tcPr>
          <w:p w14:paraId="366E782B" w14:textId="77777777" w:rsidR="00AF6927" w:rsidRPr="00AF6927" w:rsidRDefault="00AF6927" w:rsidP="00985072">
            <w:pPr>
              <w:spacing w:line="276" w:lineRule="auto"/>
              <w:jc w:val="center"/>
              <w:rPr>
                <w:lang w:val="ru-RU"/>
              </w:rPr>
            </w:pPr>
            <w:r w:rsidRPr="00AF6927">
              <w:rPr>
                <w:lang w:val="ru-RU"/>
              </w:rPr>
              <w:t>Jamg‘armalar (mlrd BDT)</w:t>
            </w:r>
          </w:p>
        </w:tc>
        <w:tc>
          <w:tcPr>
            <w:tcW w:w="530" w:type="pct"/>
            <w:vAlign w:val="center"/>
            <w:hideMark/>
          </w:tcPr>
          <w:p w14:paraId="4704D05A" w14:textId="77777777" w:rsidR="00AF6927" w:rsidRPr="00AF6927" w:rsidRDefault="00AF6927" w:rsidP="00985072">
            <w:pPr>
              <w:spacing w:line="276" w:lineRule="auto"/>
              <w:jc w:val="center"/>
              <w:rPr>
                <w:lang w:val="ru-RU"/>
              </w:rPr>
            </w:pPr>
            <w:r w:rsidRPr="00AF6927">
              <w:rPr>
                <w:lang w:val="ru-RU"/>
              </w:rPr>
              <w:t>14,47</w:t>
            </w:r>
          </w:p>
        </w:tc>
        <w:tc>
          <w:tcPr>
            <w:tcW w:w="530" w:type="pct"/>
            <w:vAlign w:val="center"/>
            <w:hideMark/>
          </w:tcPr>
          <w:p w14:paraId="1EB9F885" w14:textId="77777777" w:rsidR="00AF6927" w:rsidRPr="00AF6927" w:rsidRDefault="00AF6927" w:rsidP="00985072">
            <w:pPr>
              <w:spacing w:line="276" w:lineRule="auto"/>
              <w:jc w:val="center"/>
              <w:rPr>
                <w:lang w:val="ru-RU"/>
              </w:rPr>
            </w:pPr>
            <w:r w:rsidRPr="00AF6927">
              <w:rPr>
                <w:lang w:val="ru-RU"/>
              </w:rPr>
              <w:t>15,41</w:t>
            </w:r>
          </w:p>
        </w:tc>
        <w:tc>
          <w:tcPr>
            <w:tcW w:w="530" w:type="pct"/>
            <w:vAlign w:val="center"/>
            <w:hideMark/>
          </w:tcPr>
          <w:p w14:paraId="5F7FC867" w14:textId="77777777" w:rsidR="00AF6927" w:rsidRPr="00AF6927" w:rsidRDefault="00AF6927" w:rsidP="00985072">
            <w:pPr>
              <w:spacing w:line="276" w:lineRule="auto"/>
              <w:jc w:val="center"/>
              <w:rPr>
                <w:lang w:val="ru-RU"/>
              </w:rPr>
            </w:pPr>
            <w:r w:rsidRPr="00AF6927">
              <w:rPr>
                <w:lang w:val="ru-RU"/>
              </w:rPr>
              <w:t>5,45</w:t>
            </w:r>
          </w:p>
        </w:tc>
        <w:tc>
          <w:tcPr>
            <w:tcW w:w="617" w:type="pct"/>
            <w:vAlign w:val="center"/>
            <w:hideMark/>
          </w:tcPr>
          <w:p w14:paraId="4437F933" w14:textId="77777777" w:rsidR="00AF6927" w:rsidRPr="00AF6927" w:rsidRDefault="00AF6927" w:rsidP="00985072">
            <w:pPr>
              <w:spacing w:line="276" w:lineRule="auto"/>
              <w:jc w:val="center"/>
              <w:rPr>
                <w:lang w:val="ru-RU"/>
              </w:rPr>
            </w:pPr>
            <w:r w:rsidRPr="00AF6927">
              <w:rPr>
                <w:lang w:val="ru-RU"/>
              </w:rPr>
              <w:t>57,04</w:t>
            </w:r>
          </w:p>
        </w:tc>
        <w:tc>
          <w:tcPr>
            <w:tcW w:w="617" w:type="pct"/>
            <w:vAlign w:val="center"/>
            <w:hideMark/>
          </w:tcPr>
          <w:p w14:paraId="325FF4F1" w14:textId="77777777" w:rsidR="00AF6927" w:rsidRPr="00AF6927" w:rsidRDefault="00AF6927" w:rsidP="00985072">
            <w:pPr>
              <w:spacing w:line="276" w:lineRule="auto"/>
              <w:jc w:val="center"/>
              <w:rPr>
                <w:lang w:val="ru-RU"/>
              </w:rPr>
            </w:pPr>
            <w:r w:rsidRPr="00AF6927">
              <w:rPr>
                <w:lang w:val="ru-RU"/>
              </w:rPr>
              <w:t>39,21</w:t>
            </w:r>
          </w:p>
        </w:tc>
      </w:tr>
      <w:tr w:rsidR="00AF6927" w:rsidRPr="00AF6927" w14:paraId="0F06FC60" w14:textId="77777777" w:rsidTr="00AF6927">
        <w:tc>
          <w:tcPr>
            <w:tcW w:w="2176" w:type="pct"/>
            <w:vAlign w:val="center"/>
            <w:hideMark/>
          </w:tcPr>
          <w:p w14:paraId="2EBFB762" w14:textId="77777777" w:rsidR="00AF6927" w:rsidRPr="00AF6927" w:rsidRDefault="00AF6927" w:rsidP="00985072">
            <w:pPr>
              <w:spacing w:line="276" w:lineRule="auto"/>
              <w:jc w:val="center"/>
              <w:rPr>
                <w:lang w:val="ru-RU"/>
              </w:rPr>
            </w:pPr>
            <w:r w:rsidRPr="00AF6927">
              <w:rPr>
                <w:lang w:val="ru-RU"/>
              </w:rPr>
              <w:t>Berilgan kredit (mlrd BDT)</w:t>
            </w:r>
          </w:p>
        </w:tc>
        <w:tc>
          <w:tcPr>
            <w:tcW w:w="530" w:type="pct"/>
            <w:vAlign w:val="center"/>
            <w:hideMark/>
          </w:tcPr>
          <w:p w14:paraId="0BEB00B3" w14:textId="77777777" w:rsidR="00AF6927" w:rsidRPr="00AF6927" w:rsidRDefault="00AF6927" w:rsidP="00985072">
            <w:pPr>
              <w:spacing w:line="276" w:lineRule="auto"/>
              <w:jc w:val="center"/>
              <w:rPr>
                <w:lang w:val="ru-RU"/>
              </w:rPr>
            </w:pPr>
            <w:r w:rsidRPr="00AF6927">
              <w:rPr>
                <w:lang w:val="ru-RU"/>
              </w:rPr>
              <w:t>18,76</w:t>
            </w:r>
          </w:p>
        </w:tc>
        <w:tc>
          <w:tcPr>
            <w:tcW w:w="530" w:type="pct"/>
            <w:vAlign w:val="center"/>
            <w:hideMark/>
          </w:tcPr>
          <w:p w14:paraId="51867B30" w14:textId="77777777" w:rsidR="00AF6927" w:rsidRPr="00AF6927" w:rsidRDefault="00AF6927" w:rsidP="00985072">
            <w:pPr>
              <w:spacing w:line="276" w:lineRule="auto"/>
              <w:jc w:val="center"/>
              <w:rPr>
                <w:lang w:val="ru-RU"/>
              </w:rPr>
            </w:pPr>
            <w:r w:rsidRPr="00AF6927">
              <w:rPr>
                <w:lang w:val="ru-RU"/>
              </w:rPr>
              <w:t>8,61</w:t>
            </w:r>
          </w:p>
        </w:tc>
        <w:tc>
          <w:tcPr>
            <w:tcW w:w="530" w:type="pct"/>
            <w:vAlign w:val="center"/>
            <w:hideMark/>
          </w:tcPr>
          <w:p w14:paraId="2F30C811" w14:textId="77777777" w:rsidR="00AF6927" w:rsidRPr="00AF6927" w:rsidRDefault="00AF6927" w:rsidP="00985072">
            <w:pPr>
              <w:spacing w:line="276" w:lineRule="auto"/>
              <w:jc w:val="center"/>
              <w:rPr>
                <w:lang w:val="ru-RU"/>
              </w:rPr>
            </w:pPr>
            <w:r w:rsidRPr="00AF6927">
              <w:rPr>
                <w:lang w:val="ru-RU"/>
              </w:rPr>
              <w:t>26,57</w:t>
            </w:r>
          </w:p>
        </w:tc>
        <w:tc>
          <w:tcPr>
            <w:tcW w:w="617" w:type="pct"/>
            <w:vAlign w:val="center"/>
            <w:hideMark/>
          </w:tcPr>
          <w:p w14:paraId="7D77EFAA" w14:textId="77777777" w:rsidR="00AF6927" w:rsidRPr="00AF6927" w:rsidRDefault="00AF6927" w:rsidP="00985072">
            <w:pPr>
              <w:spacing w:line="276" w:lineRule="auto"/>
              <w:jc w:val="center"/>
              <w:rPr>
                <w:lang w:val="ru-RU"/>
              </w:rPr>
            </w:pPr>
            <w:r w:rsidRPr="00AF6927">
              <w:rPr>
                <w:lang w:val="ru-RU"/>
              </w:rPr>
              <w:t>95,53</w:t>
            </w:r>
          </w:p>
        </w:tc>
        <w:tc>
          <w:tcPr>
            <w:tcW w:w="617" w:type="pct"/>
            <w:vAlign w:val="center"/>
            <w:hideMark/>
          </w:tcPr>
          <w:p w14:paraId="7D325580" w14:textId="77777777" w:rsidR="00AF6927" w:rsidRPr="00AF6927" w:rsidRDefault="00AF6927" w:rsidP="00985072">
            <w:pPr>
              <w:spacing w:line="276" w:lineRule="auto"/>
              <w:jc w:val="center"/>
              <w:rPr>
                <w:lang w:val="ru-RU"/>
              </w:rPr>
            </w:pPr>
            <w:r w:rsidRPr="00AF6927">
              <w:rPr>
                <w:lang w:val="ru-RU"/>
              </w:rPr>
              <w:t>84,75</w:t>
            </w:r>
          </w:p>
        </w:tc>
      </w:tr>
    </w:tbl>
    <w:p w14:paraId="7A6E5B72" w14:textId="77777777" w:rsidR="00985072" w:rsidRDefault="00985072" w:rsidP="00985072">
      <w:pPr>
        <w:spacing w:after="0" w:line="276" w:lineRule="auto"/>
        <w:ind w:firstLine="709"/>
        <w:jc w:val="both"/>
      </w:pPr>
    </w:p>
    <w:p w14:paraId="224EBFB2" w14:textId="5A012ED4" w:rsidR="00AF6927" w:rsidRPr="00AF6927" w:rsidRDefault="00AF6927" w:rsidP="00985072">
      <w:pPr>
        <w:spacing w:after="0" w:line="276" w:lineRule="auto"/>
        <w:ind w:firstLine="709"/>
        <w:jc w:val="both"/>
      </w:pPr>
      <w:r w:rsidRPr="00AF6927">
        <w:t>Bangladesh</w:t>
      </w:r>
      <w:r w:rsidRPr="004266E1">
        <w:t xml:space="preserve"> </w:t>
      </w:r>
      <w:r w:rsidRPr="00AF6927">
        <w:t>turli</w:t>
      </w:r>
      <w:r w:rsidRPr="004266E1">
        <w:t xml:space="preserve"> </w:t>
      </w:r>
      <w:r w:rsidRPr="00AF6927">
        <w:t>davlat</w:t>
      </w:r>
      <w:r w:rsidRPr="004266E1">
        <w:t xml:space="preserve"> </w:t>
      </w:r>
      <w:r w:rsidRPr="00AF6927">
        <w:t>idoralari</w:t>
      </w:r>
      <w:r w:rsidRPr="004266E1">
        <w:t xml:space="preserve"> </w:t>
      </w:r>
      <w:r w:rsidRPr="00AF6927">
        <w:t>va</w:t>
      </w:r>
      <w:r w:rsidRPr="004266E1">
        <w:t xml:space="preserve"> </w:t>
      </w:r>
      <w:r w:rsidRPr="00AF6927">
        <w:t>dasturlarining</w:t>
      </w:r>
      <w:r w:rsidRPr="004266E1">
        <w:t xml:space="preserve"> </w:t>
      </w:r>
      <w:r w:rsidRPr="00AF6927">
        <w:t>asosiy</w:t>
      </w:r>
      <w:r w:rsidRPr="004266E1">
        <w:t xml:space="preserve"> </w:t>
      </w:r>
      <w:r w:rsidRPr="00AF6927">
        <w:t>ko</w:t>
      </w:r>
      <w:r w:rsidRPr="004266E1">
        <w:t>‘</w:t>
      </w:r>
      <w:r w:rsidRPr="00AF6927">
        <w:t>rsatkichlari</w:t>
      </w:r>
      <w:r w:rsidRPr="004266E1">
        <w:t xml:space="preserve"> 2022-</w:t>
      </w:r>
      <w:r w:rsidRPr="00AF6927">
        <w:t>yilda</w:t>
      </w:r>
      <w:r w:rsidRPr="004266E1">
        <w:t xml:space="preserve"> </w:t>
      </w:r>
      <w:r w:rsidRPr="00AF6927">
        <w:t>davlat</w:t>
      </w:r>
      <w:r w:rsidRPr="004266E1">
        <w:t xml:space="preserve"> </w:t>
      </w:r>
      <w:r w:rsidRPr="00AF6927">
        <w:t>idoralari</w:t>
      </w:r>
      <w:r w:rsidRPr="004266E1">
        <w:t xml:space="preserve"> </w:t>
      </w:r>
      <w:r w:rsidRPr="00AF6927">
        <w:t>va</w:t>
      </w:r>
      <w:r w:rsidRPr="004266E1">
        <w:t xml:space="preserve"> </w:t>
      </w:r>
      <w:r w:rsidRPr="00AF6927">
        <w:t>maxsus</w:t>
      </w:r>
      <w:r w:rsidRPr="004266E1">
        <w:t xml:space="preserve"> </w:t>
      </w:r>
      <w:r w:rsidRPr="00AF6927">
        <w:t>dasturlar</w:t>
      </w:r>
      <w:r w:rsidRPr="004266E1">
        <w:t xml:space="preserve"> </w:t>
      </w:r>
      <w:r w:rsidRPr="00AF6927">
        <w:t>orqali</w:t>
      </w:r>
      <w:r w:rsidRPr="004266E1">
        <w:t xml:space="preserve"> </w:t>
      </w:r>
      <w:r w:rsidRPr="00AF6927">
        <w:t>berilgan</w:t>
      </w:r>
      <w:r w:rsidRPr="004266E1">
        <w:t xml:space="preserve"> </w:t>
      </w:r>
      <w:r w:rsidRPr="00AF6927">
        <w:t>kredit</w:t>
      </w:r>
      <w:r w:rsidRPr="004266E1">
        <w:t xml:space="preserve"> </w:t>
      </w:r>
      <w:r w:rsidRPr="00AF6927">
        <w:t>hajmi</w:t>
      </w:r>
      <w:r w:rsidRPr="004266E1">
        <w:t xml:space="preserve"> </w:t>
      </w:r>
      <w:r w:rsidRPr="00AF6927">
        <w:t>keskin</w:t>
      </w:r>
      <w:r w:rsidRPr="004266E1">
        <w:t xml:space="preserve"> </w:t>
      </w:r>
      <w:r w:rsidRPr="00AF6927">
        <w:t>oshib</w:t>
      </w:r>
      <w:r w:rsidRPr="004266E1">
        <w:t xml:space="preserve">, 95,53 </w:t>
      </w:r>
      <w:r w:rsidRPr="00AF6927">
        <w:t>mlrd</w:t>
      </w:r>
      <w:r w:rsidRPr="004266E1">
        <w:t xml:space="preserve"> </w:t>
      </w:r>
      <w:r w:rsidRPr="00AF6927">
        <w:t>BDTni</w:t>
      </w:r>
      <w:r w:rsidRPr="004266E1">
        <w:t xml:space="preserve"> </w:t>
      </w:r>
      <w:r w:rsidRPr="00AF6927">
        <w:t>tashkil</w:t>
      </w:r>
      <w:r w:rsidRPr="004266E1">
        <w:t xml:space="preserve"> </w:t>
      </w:r>
      <w:r w:rsidRPr="00AF6927">
        <w:t>etdi</w:t>
      </w:r>
      <w:r w:rsidRPr="004266E1">
        <w:t>.</w:t>
      </w:r>
      <w:r w:rsidR="00A72413" w:rsidRPr="004266E1">
        <w:t xml:space="preserve"> </w:t>
      </w:r>
      <w:r w:rsidR="00A72413">
        <w:t xml:space="preserve">Umuman bu keskin o‘sish barcha ko‘rsatkichlarda namoyon bo‘lgan (4-jadval). </w:t>
      </w:r>
      <w:r w:rsidRPr="00AF6927">
        <w:t>Biroq 2023-yilda ushbu hajm 84,75 mlrd BDTgacha kamaygan, bu esa dasturlarni qayta optimallashtirishga ehtiyojni ko‘rsatadi.</w:t>
      </w:r>
    </w:p>
    <w:p w14:paraId="69B44259" w14:textId="77777777" w:rsidR="00985072" w:rsidRDefault="00985072" w:rsidP="00985072">
      <w:pPr>
        <w:spacing w:after="0" w:line="276" w:lineRule="auto"/>
        <w:jc w:val="right"/>
        <w:rPr>
          <w:b/>
          <w:bCs/>
        </w:rPr>
      </w:pPr>
    </w:p>
    <w:p w14:paraId="2D456E9E" w14:textId="77777777" w:rsidR="00985072" w:rsidRDefault="00985072" w:rsidP="00985072">
      <w:pPr>
        <w:spacing w:after="0" w:line="276" w:lineRule="auto"/>
        <w:jc w:val="right"/>
        <w:rPr>
          <w:b/>
          <w:bCs/>
        </w:rPr>
      </w:pPr>
    </w:p>
    <w:p w14:paraId="3F024E2A" w14:textId="77777777" w:rsidR="00985072" w:rsidRDefault="00985072" w:rsidP="00985072">
      <w:pPr>
        <w:spacing w:after="0" w:line="276" w:lineRule="auto"/>
        <w:jc w:val="right"/>
        <w:rPr>
          <w:b/>
          <w:bCs/>
        </w:rPr>
      </w:pPr>
    </w:p>
    <w:p w14:paraId="28A8AB95" w14:textId="77777777" w:rsidR="00985072" w:rsidRDefault="00985072" w:rsidP="00985072">
      <w:pPr>
        <w:spacing w:after="0" w:line="276" w:lineRule="auto"/>
        <w:jc w:val="right"/>
        <w:rPr>
          <w:b/>
          <w:bCs/>
        </w:rPr>
      </w:pPr>
    </w:p>
    <w:p w14:paraId="65B7A434" w14:textId="567D86C9" w:rsidR="00A72413" w:rsidRDefault="00A72413" w:rsidP="00985072">
      <w:pPr>
        <w:spacing w:after="0" w:line="276" w:lineRule="auto"/>
        <w:jc w:val="right"/>
        <w:rPr>
          <w:b/>
          <w:bCs/>
        </w:rPr>
      </w:pPr>
      <w:r>
        <w:rPr>
          <w:b/>
          <w:bCs/>
        </w:rPr>
        <w:lastRenderedPageBreak/>
        <w:t>5</w:t>
      </w:r>
      <w:r w:rsidRPr="00A72413">
        <w:rPr>
          <w:b/>
          <w:bCs/>
        </w:rPr>
        <w:t>-jadval.</w:t>
      </w:r>
    </w:p>
    <w:p w14:paraId="54EB81F2" w14:textId="6C234AC2" w:rsidR="00A72413" w:rsidRPr="00A72413" w:rsidRDefault="00A72413" w:rsidP="00985072">
      <w:pPr>
        <w:spacing w:after="0" w:line="276" w:lineRule="auto"/>
        <w:jc w:val="center"/>
        <w:rPr>
          <w:b/>
          <w:bCs/>
        </w:rPr>
      </w:pPr>
      <w:r>
        <w:rPr>
          <w:b/>
          <w:bCs/>
        </w:rPr>
        <w:t>Bangladeshda s</w:t>
      </w:r>
      <w:r w:rsidRPr="00A72413">
        <w:rPr>
          <w:b/>
          <w:bCs/>
        </w:rPr>
        <w:t>o‘nggi 5 yilda banklar (mikromoliya segmenti) bo‘yicha asosiy ko‘rsatkichlar</w:t>
      </w:r>
      <w:r w:rsidR="00185793" w:rsidRPr="00185793">
        <w:rPr>
          <w:rStyle w:val="af0"/>
          <w:b/>
          <w:bCs/>
        </w:rPr>
        <w:footnoteReference w:id="18"/>
      </w:r>
    </w:p>
    <w:tbl>
      <w:tblPr>
        <w:tblStyle w:val="ac"/>
        <w:tblW w:w="5000" w:type="pct"/>
        <w:tblLook w:val="04A0" w:firstRow="1" w:lastRow="0" w:firstColumn="1" w:lastColumn="0" w:noHBand="0" w:noVBand="1"/>
      </w:tblPr>
      <w:tblGrid>
        <w:gridCol w:w="4364"/>
        <w:gridCol w:w="1063"/>
        <w:gridCol w:w="1063"/>
        <w:gridCol w:w="1063"/>
        <w:gridCol w:w="1063"/>
        <w:gridCol w:w="1063"/>
      </w:tblGrid>
      <w:tr w:rsidR="00A72413" w:rsidRPr="00A72413" w14:paraId="3FAF5841" w14:textId="77777777" w:rsidTr="00A72413">
        <w:tc>
          <w:tcPr>
            <w:tcW w:w="2255" w:type="pct"/>
            <w:shd w:val="clear" w:color="auto" w:fill="BDD6EE" w:themeFill="accent1" w:themeFillTint="66"/>
            <w:vAlign w:val="center"/>
            <w:hideMark/>
          </w:tcPr>
          <w:p w14:paraId="69E50BD6" w14:textId="7E43A200" w:rsidR="00A72413" w:rsidRPr="00A72413" w:rsidRDefault="00A72413" w:rsidP="00985072">
            <w:pPr>
              <w:spacing w:line="276" w:lineRule="auto"/>
              <w:jc w:val="center"/>
              <w:rPr>
                <w:b/>
                <w:bCs/>
              </w:rPr>
            </w:pPr>
            <w:r w:rsidRPr="00A72413">
              <w:rPr>
                <w:b/>
                <w:bCs/>
                <w:lang w:val="ru-RU"/>
              </w:rPr>
              <w:t>Ko‘rsatkich</w:t>
            </w:r>
          </w:p>
        </w:tc>
        <w:tc>
          <w:tcPr>
            <w:tcW w:w="549" w:type="pct"/>
            <w:shd w:val="clear" w:color="auto" w:fill="BDD6EE" w:themeFill="accent1" w:themeFillTint="66"/>
            <w:vAlign w:val="center"/>
            <w:hideMark/>
          </w:tcPr>
          <w:p w14:paraId="1303F24D" w14:textId="77777777" w:rsidR="00A72413" w:rsidRPr="00A72413" w:rsidRDefault="00A72413" w:rsidP="00985072">
            <w:pPr>
              <w:spacing w:line="276" w:lineRule="auto"/>
              <w:jc w:val="center"/>
              <w:rPr>
                <w:b/>
                <w:bCs/>
                <w:lang w:val="ru-RU"/>
              </w:rPr>
            </w:pPr>
            <w:r w:rsidRPr="00A72413">
              <w:rPr>
                <w:b/>
                <w:bCs/>
                <w:lang w:val="ru-RU"/>
              </w:rPr>
              <w:t>2019</w:t>
            </w:r>
          </w:p>
        </w:tc>
        <w:tc>
          <w:tcPr>
            <w:tcW w:w="549" w:type="pct"/>
            <w:shd w:val="clear" w:color="auto" w:fill="BDD6EE" w:themeFill="accent1" w:themeFillTint="66"/>
            <w:vAlign w:val="center"/>
            <w:hideMark/>
          </w:tcPr>
          <w:p w14:paraId="19733A7C" w14:textId="77777777" w:rsidR="00A72413" w:rsidRPr="00A72413" w:rsidRDefault="00A72413" w:rsidP="00985072">
            <w:pPr>
              <w:spacing w:line="276" w:lineRule="auto"/>
              <w:jc w:val="center"/>
              <w:rPr>
                <w:b/>
                <w:bCs/>
                <w:lang w:val="ru-RU"/>
              </w:rPr>
            </w:pPr>
            <w:r w:rsidRPr="00A72413">
              <w:rPr>
                <w:b/>
                <w:bCs/>
                <w:lang w:val="ru-RU"/>
              </w:rPr>
              <w:t>2020</w:t>
            </w:r>
          </w:p>
        </w:tc>
        <w:tc>
          <w:tcPr>
            <w:tcW w:w="549" w:type="pct"/>
            <w:shd w:val="clear" w:color="auto" w:fill="BDD6EE" w:themeFill="accent1" w:themeFillTint="66"/>
            <w:vAlign w:val="center"/>
            <w:hideMark/>
          </w:tcPr>
          <w:p w14:paraId="74975799" w14:textId="77777777" w:rsidR="00A72413" w:rsidRPr="00A72413" w:rsidRDefault="00A72413" w:rsidP="00985072">
            <w:pPr>
              <w:spacing w:line="276" w:lineRule="auto"/>
              <w:jc w:val="center"/>
              <w:rPr>
                <w:b/>
                <w:bCs/>
                <w:lang w:val="ru-RU"/>
              </w:rPr>
            </w:pPr>
            <w:r w:rsidRPr="00A72413">
              <w:rPr>
                <w:b/>
                <w:bCs/>
                <w:lang w:val="ru-RU"/>
              </w:rPr>
              <w:t>2021</w:t>
            </w:r>
          </w:p>
        </w:tc>
        <w:tc>
          <w:tcPr>
            <w:tcW w:w="549" w:type="pct"/>
            <w:shd w:val="clear" w:color="auto" w:fill="BDD6EE" w:themeFill="accent1" w:themeFillTint="66"/>
            <w:vAlign w:val="center"/>
            <w:hideMark/>
          </w:tcPr>
          <w:p w14:paraId="6D087D65" w14:textId="77777777" w:rsidR="00A72413" w:rsidRPr="00A72413" w:rsidRDefault="00A72413" w:rsidP="00985072">
            <w:pPr>
              <w:spacing w:line="276" w:lineRule="auto"/>
              <w:jc w:val="center"/>
              <w:rPr>
                <w:b/>
                <w:bCs/>
                <w:lang w:val="ru-RU"/>
              </w:rPr>
            </w:pPr>
            <w:r w:rsidRPr="00A72413">
              <w:rPr>
                <w:b/>
                <w:bCs/>
                <w:lang w:val="ru-RU"/>
              </w:rPr>
              <w:t>2022</w:t>
            </w:r>
          </w:p>
        </w:tc>
        <w:tc>
          <w:tcPr>
            <w:tcW w:w="549" w:type="pct"/>
            <w:shd w:val="clear" w:color="auto" w:fill="BDD6EE" w:themeFill="accent1" w:themeFillTint="66"/>
            <w:vAlign w:val="center"/>
            <w:hideMark/>
          </w:tcPr>
          <w:p w14:paraId="79BF6C6C" w14:textId="77777777" w:rsidR="00A72413" w:rsidRPr="00A72413" w:rsidRDefault="00A72413" w:rsidP="00985072">
            <w:pPr>
              <w:spacing w:line="276" w:lineRule="auto"/>
              <w:jc w:val="center"/>
              <w:rPr>
                <w:b/>
                <w:bCs/>
                <w:lang w:val="ru-RU"/>
              </w:rPr>
            </w:pPr>
            <w:r w:rsidRPr="00A72413">
              <w:rPr>
                <w:b/>
                <w:bCs/>
                <w:lang w:val="ru-RU"/>
              </w:rPr>
              <w:t>2023</w:t>
            </w:r>
          </w:p>
        </w:tc>
      </w:tr>
      <w:tr w:rsidR="00A72413" w:rsidRPr="00A72413" w14:paraId="4C2FB1A3" w14:textId="77777777" w:rsidTr="00A72413">
        <w:tc>
          <w:tcPr>
            <w:tcW w:w="2255" w:type="pct"/>
            <w:vAlign w:val="center"/>
            <w:hideMark/>
          </w:tcPr>
          <w:p w14:paraId="44D99A8B" w14:textId="77777777" w:rsidR="00A72413" w:rsidRPr="00A72413" w:rsidRDefault="00A72413" w:rsidP="00985072">
            <w:pPr>
              <w:spacing w:line="276" w:lineRule="auto"/>
              <w:jc w:val="center"/>
              <w:rPr>
                <w:lang w:val="ru-RU"/>
              </w:rPr>
            </w:pPr>
            <w:r w:rsidRPr="00A72413">
              <w:rPr>
                <w:lang w:val="ru-RU"/>
              </w:rPr>
              <w:t>Mijozlar soni (mln)</w:t>
            </w:r>
          </w:p>
        </w:tc>
        <w:tc>
          <w:tcPr>
            <w:tcW w:w="549" w:type="pct"/>
            <w:vAlign w:val="center"/>
            <w:hideMark/>
          </w:tcPr>
          <w:p w14:paraId="6B0A93AC" w14:textId="77777777" w:rsidR="00A72413" w:rsidRPr="00A72413" w:rsidRDefault="00A72413" w:rsidP="00985072">
            <w:pPr>
              <w:spacing w:line="276" w:lineRule="auto"/>
              <w:jc w:val="center"/>
              <w:rPr>
                <w:lang w:val="ru-RU"/>
              </w:rPr>
            </w:pPr>
            <w:r w:rsidRPr="00A72413">
              <w:rPr>
                <w:lang w:val="ru-RU"/>
              </w:rPr>
              <w:t>0,97</w:t>
            </w:r>
          </w:p>
        </w:tc>
        <w:tc>
          <w:tcPr>
            <w:tcW w:w="549" w:type="pct"/>
            <w:vAlign w:val="center"/>
            <w:hideMark/>
          </w:tcPr>
          <w:p w14:paraId="0FD00AC6" w14:textId="77777777" w:rsidR="00A72413" w:rsidRPr="00A72413" w:rsidRDefault="00A72413" w:rsidP="00985072">
            <w:pPr>
              <w:spacing w:line="276" w:lineRule="auto"/>
              <w:jc w:val="center"/>
              <w:rPr>
                <w:lang w:val="ru-RU"/>
              </w:rPr>
            </w:pPr>
            <w:r w:rsidRPr="00A72413">
              <w:rPr>
                <w:lang w:val="ru-RU"/>
              </w:rPr>
              <w:t>1,09</w:t>
            </w:r>
          </w:p>
        </w:tc>
        <w:tc>
          <w:tcPr>
            <w:tcW w:w="549" w:type="pct"/>
            <w:vAlign w:val="center"/>
            <w:hideMark/>
          </w:tcPr>
          <w:p w14:paraId="3B3A06F3" w14:textId="77777777" w:rsidR="00A72413" w:rsidRPr="00A72413" w:rsidRDefault="00A72413" w:rsidP="00985072">
            <w:pPr>
              <w:spacing w:line="276" w:lineRule="auto"/>
              <w:jc w:val="center"/>
              <w:rPr>
                <w:lang w:val="ru-RU"/>
              </w:rPr>
            </w:pPr>
            <w:r w:rsidRPr="00A72413">
              <w:rPr>
                <w:lang w:val="ru-RU"/>
              </w:rPr>
              <w:t>1,48</w:t>
            </w:r>
          </w:p>
        </w:tc>
        <w:tc>
          <w:tcPr>
            <w:tcW w:w="549" w:type="pct"/>
            <w:vAlign w:val="center"/>
            <w:hideMark/>
          </w:tcPr>
          <w:p w14:paraId="3C297AE2" w14:textId="77777777" w:rsidR="00A72413" w:rsidRPr="00A72413" w:rsidRDefault="00A72413" w:rsidP="00985072">
            <w:pPr>
              <w:spacing w:line="276" w:lineRule="auto"/>
              <w:jc w:val="center"/>
              <w:rPr>
                <w:lang w:val="ru-RU"/>
              </w:rPr>
            </w:pPr>
            <w:r w:rsidRPr="00A72413">
              <w:rPr>
                <w:lang w:val="ru-RU"/>
              </w:rPr>
              <w:t>1,68</w:t>
            </w:r>
          </w:p>
        </w:tc>
        <w:tc>
          <w:tcPr>
            <w:tcW w:w="549" w:type="pct"/>
            <w:vAlign w:val="center"/>
            <w:hideMark/>
          </w:tcPr>
          <w:p w14:paraId="1E5C0B71" w14:textId="77777777" w:rsidR="00A72413" w:rsidRPr="00A72413" w:rsidRDefault="00A72413" w:rsidP="00985072">
            <w:pPr>
              <w:spacing w:line="276" w:lineRule="auto"/>
              <w:jc w:val="center"/>
              <w:rPr>
                <w:lang w:val="ru-RU"/>
              </w:rPr>
            </w:pPr>
            <w:r w:rsidRPr="00A72413">
              <w:rPr>
                <w:lang w:val="ru-RU"/>
              </w:rPr>
              <w:t>2,15</w:t>
            </w:r>
          </w:p>
        </w:tc>
      </w:tr>
      <w:tr w:rsidR="00A72413" w:rsidRPr="00A72413" w14:paraId="395B50F3" w14:textId="77777777" w:rsidTr="00A72413">
        <w:tc>
          <w:tcPr>
            <w:tcW w:w="2255" w:type="pct"/>
            <w:vAlign w:val="center"/>
            <w:hideMark/>
          </w:tcPr>
          <w:p w14:paraId="5CBE8DE9" w14:textId="77777777" w:rsidR="00A72413" w:rsidRPr="00A72413" w:rsidRDefault="00A72413" w:rsidP="00985072">
            <w:pPr>
              <w:spacing w:line="276" w:lineRule="auto"/>
              <w:jc w:val="center"/>
              <w:rPr>
                <w:lang w:val="ru-RU"/>
              </w:rPr>
            </w:pPr>
            <w:r w:rsidRPr="00A72413">
              <w:rPr>
                <w:lang w:val="ru-RU"/>
              </w:rPr>
              <w:t>Qarz oluvchilar soni (mln)</w:t>
            </w:r>
          </w:p>
        </w:tc>
        <w:tc>
          <w:tcPr>
            <w:tcW w:w="549" w:type="pct"/>
            <w:vAlign w:val="center"/>
            <w:hideMark/>
          </w:tcPr>
          <w:p w14:paraId="1556F95E" w14:textId="77777777" w:rsidR="00A72413" w:rsidRPr="00A72413" w:rsidRDefault="00A72413" w:rsidP="00985072">
            <w:pPr>
              <w:spacing w:line="276" w:lineRule="auto"/>
              <w:jc w:val="center"/>
              <w:rPr>
                <w:lang w:val="ru-RU"/>
              </w:rPr>
            </w:pPr>
            <w:r w:rsidRPr="00A72413">
              <w:rPr>
                <w:lang w:val="ru-RU"/>
              </w:rPr>
              <w:t>0,45</w:t>
            </w:r>
          </w:p>
        </w:tc>
        <w:tc>
          <w:tcPr>
            <w:tcW w:w="549" w:type="pct"/>
            <w:vAlign w:val="center"/>
            <w:hideMark/>
          </w:tcPr>
          <w:p w14:paraId="44A936D5" w14:textId="77777777" w:rsidR="00A72413" w:rsidRPr="00A72413" w:rsidRDefault="00A72413" w:rsidP="00985072">
            <w:pPr>
              <w:spacing w:line="276" w:lineRule="auto"/>
              <w:jc w:val="center"/>
              <w:rPr>
                <w:lang w:val="ru-RU"/>
              </w:rPr>
            </w:pPr>
            <w:r w:rsidRPr="00A72413">
              <w:rPr>
                <w:lang w:val="ru-RU"/>
              </w:rPr>
              <w:t>0,41</w:t>
            </w:r>
          </w:p>
        </w:tc>
        <w:tc>
          <w:tcPr>
            <w:tcW w:w="549" w:type="pct"/>
            <w:vAlign w:val="center"/>
            <w:hideMark/>
          </w:tcPr>
          <w:p w14:paraId="2AA95F40" w14:textId="77777777" w:rsidR="00A72413" w:rsidRPr="00A72413" w:rsidRDefault="00A72413" w:rsidP="00985072">
            <w:pPr>
              <w:spacing w:line="276" w:lineRule="auto"/>
              <w:jc w:val="center"/>
              <w:rPr>
                <w:lang w:val="ru-RU"/>
              </w:rPr>
            </w:pPr>
            <w:r w:rsidRPr="00A72413">
              <w:rPr>
                <w:lang w:val="ru-RU"/>
              </w:rPr>
              <w:t>0,53</w:t>
            </w:r>
          </w:p>
        </w:tc>
        <w:tc>
          <w:tcPr>
            <w:tcW w:w="549" w:type="pct"/>
            <w:vAlign w:val="center"/>
            <w:hideMark/>
          </w:tcPr>
          <w:p w14:paraId="3EB7D3DF" w14:textId="77777777" w:rsidR="00A72413" w:rsidRPr="00A72413" w:rsidRDefault="00A72413" w:rsidP="00985072">
            <w:pPr>
              <w:spacing w:line="276" w:lineRule="auto"/>
              <w:jc w:val="center"/>
              <w:rPr>
                <w:lang w:val="ru-RU"/>
              </w:rPr>
            </w:pPr>
            <w:r w:rsidRPr="00A72413">
              <w:rPr>
                <w:lang w:val="ru-RU"/>
              </w:rPr>
              <w:t>0,64</w:t>
            </w:r>
          </w:p>
        </w:tc>
        <w:tc>
          <w:tcPr>
            <w:tcW w:w="549" w:type="pct"/>
            <w:vAlign w:val="center"/>
            <w:hideMark/>
          </w:tcPr>
          <w:p w14:paraId="2D47DFA4" w14:textId="77777777" w:rsidR="00A72413" w:rsidRPr="00A72413" w:rsidRDefault="00A72413" w:rsidP="00985072">
            <w:pPr>
              <w:spacing w:line="276" w:lineRule="auto"/>
              <w:jc w:val="center"/>
              <w:rPr>
                <w:lang w:val="ru-RU"/>
              </w:rPr>
            </w:pPr>
            <w:r w:rsidRPr="00A72413">
              <w:rPr>
                <w:lang w:val="ru-RU"/>
              </w:rPr>
              <w:t>0,40</w:t>
            </w:r>
          </w:p>
        </w:tc>
      </w:tr>
      <w:tr w:rsidR="00A72413" w:rsidRPr="00A72413" w14:paraId="02D6DF0E" w14:textId="77777777" w:rsidTr="00A72413">
        <w:tc>
          <w:tcPr>
            <w:tcW w:w="2255" w:type="pct"/>
            <w:vAlign w:val="center"/>
            <w:hideMark/>
          </w:tcPr>
          <w:p w14:paraId="7F3D40DB" w14:textId="77777777" w:rsidR="00A72413" w:rsidRPr="00A72413" w:rsidRDefault="00A72413" w:rsidP="00985072">
            <w:pPr>
              <w:spacing w:line="276" w:lineRule="auto"/>
              <w:jc w:val="center"/>
              <w:rPr>
                <w:lang w:val="ru-RU"/>
              </w:rPr>
            </w:pPr>
            <w:r w:rsidRPr="00A72413">
              <w:rPr>
                <w:lang w:val="ru-RU"/>
              </w:rPr>
              <w:t>Qaytmagan qarz (mlrd BDT)</w:t>
            </w:r>
          </w:p>
        </w:tc>
        <w:tc>
          <w:tcPr>
            <w:tcW w:w="549" w:type="pct"/>
            <w:vAlign w:val="center"/>
            <w:hideMark/>
          </w:tcPr>
          <w:p w14:paraId="6BEE15CE" w14:textId="77777777" w:rsidR="00A72413" w:rsidRPr="00A72413" w:rsidRDefault="00A72413" w:rsidP="00985072">
            <w:pPr>
              <w:spacing w:line="276" w:lineRule="auto"/>
              <w:jc w:val="center"/>
              <w:rPr>
                <w:lang w:val="ru-RU"/>
              </w:rPr>
            </w:pPr>
            <w:r w:rsidRPr="00A72413">
              <w:rPr>
                <w:lang w:val="ru-RU"/>
              </w:rPr>
              <w:t>55,99</w:t>
            </w:r>
          </w:p>
        </w:tc>
        <w:tc>
          <w:tcPr>
            <w:tcW w:w="549" w:type="pct"/>
            <w:vAlign w:val="center"/>
            <w:hideMark/>
          </w:tcPr>
          <w:p w14:paraId="27C7709B" w14:textId="77777777" w:rsidR="00A72413" w:rsidRPr="00A72413" w:rsidRDefault="00A72413" w:rsidP="00985072">
            <w:pPr>
              <w:spacing w:line="276" w:lineRule="auto"/>
              <w:jc w:val="center"/>
              <w:rPr>
                <w:lang w:val="ru-RU"/>
              </w:rPr>
            </w:pPr>
            <w:r w:rsidRPr="00A72413">
              <w:rPr>
                <w:lang w:val="ru-RU"/>
              </w:rPr>
              <w:t>55,15</w:t>
            </w:r>
          </w:p>
        </w:tc>
        <w:tc>
          <w:tcPr>
            <w:tcW w:w="549" w:type="pct"/>
            <w:vAlign w:val="center"/>
            <w:hideMark/>
          </w:tcPr>
          <w:p w14:paraId="2937AC06" w14:textId="77777777" w:rsidR="00A72413" w:rsidRPr="00A72413" w:rsidRDefault="00A72413" w:rsidP="00985072">
            <w:pPr>
              <w:spacing w:line="276" w:lineRule="auto"/>
              <w:jc w:val="center"/>
              <w:rPr>
                <w:lang w:val="ru-RU"/>
              </w:rPr>
            </w:pPr>
            <w:r w:rsidRPr="00A72413">
              <w:rPr>
                <w:lang w:val="ru-RU"/>
              </w:rPr>
              <w:t>62,31</w:t>
            </w:r>
          </w:p>
        </w:tc>
        <w:tc>
          <w:tcPr>
            <w:tcW w:w="549" w:type="pct"/>
            <w:vAlign w:val="center"/>
            <w:hideMark/>
          </w:tcPr>
          <w:p w14:paraId="57CF211E" w14:textId="77777777" w:rsidR="00A72413" w:rsidRPr="00A72413" w:rsidRDefault="00A72413" w:rsidP="00985072">
            <w:pPr>
              <w:spacing w:line="276" w:lineRule="auto"/>
              <w:jc w:val="center"/>
              <w:rPr>
                <w:lang w:val="ru-RU"/>
              </w:rPr>
            </w:pPr>
            <w:r w:rsidRPr="00A72413">
              <w:rPr>
                <w:lang w:val="ru-RU"/>
              </w:rPr>
              <w:t>64,53</w:t>
            </w:r>
          </w:p>
        </w:tc>
        <w:tc>
          <w:tcPr>
            <w:tcW w:w="549" w:type="pct"/>
            <w:vAlign w:val="center"/>
            <w:hideMark/>
          </w:tcPr>
          <w:p w14:paraId="40366BEB" w14:textId="77777777" w:rsidR="00A72413" w:rsidRPr="00A72413" w:rsidRDefault="00A72413" w:rsidP="00985072">
            <w:pPr>
              <w:spacing w:line="276" w:lineRule="auto"/>
              <w:jc w:val="center"/>
              <w:rPr>
                <w:lang w:val="ru-RU"/>
              </w:rPr>
            </w:pPr>
            <w:r w:rsidRPr="00A72413">
              <w:rPr>
                <w:lang w:val="ru-RU"/>
              </w:rPr>
              <w:t>73,75</w:t>
            </w:r>
          </w:p>
        </w:tc>
      </w:tr>
      <w:tr w:rsidR="00A72413" w:rsidRPr="00A72413" w14:paraId="267E69BB" w14:textId="77777777" w:rsidTr="00A72413">
        <w:tc>
          <w:tcPr>
            <w:tcW w:w="2255" w:type="pct"/>
            <w:vAlign w:val="center"/>
            <w:hideMark/>
          </w:tcPr>
          <w:p w14:paraId="0837D6E9" w14:textId="77777777" w:rsidR="00A72413" w:rsidRPr="00A72413" w:rsidRDefault="00A72413" w:rsidP="00985072">
            <w:pPr>
              <w:spacing w:line="276" w:lineRule="auto"/>
              <w:jc w:val="center"/>
              <w:rPr>
                <w:lang w:val="ru-RU"/>
              </w:rPr>
            </w:pPr>
            <w:r w:rsidRPr="00A72413">
              <w:rPr>
                <w:lang w:val="ru-RU"/>
              </w:rPr>
              <w:t>Jamg‘armalar (mlrd BDT)</w:t>
            </w:r>
          </w:p>
        </w:tc>
        <w:tc>
          <w:tcPr>
            <w:tcW w:w="549" w:type="pct"/>
            <w:vAlign w:val="center"/>
            <w:hideMark/>
          </w:tcPr>
          <w:p w14:paraId="613C4C50" w14:textId="77777777" w:rsidR="00A72413" w:rsidRPr="00A72413" w:rsidRDefault="00A72413" w:rsidP="00985072">
            <w:pPr>
              <w:spacing w:line="276" w:lineRule="auto"/>
              <w:jc w:val="center"/>
              <w:rPr>
                <w:lang w:val="ru-RU"/>
              </w:rPr>
            </w:pPr>
            <w:r w:rsidRPr="00A72413">
              <w:rPr>
                <w:lang w:val="ru-RU"/>
              </w:rPr>
              <w:t>9,7</w:t>
            </w:r>
          </w:p>
        </w:tc>
        <w:tc>
          <w:tcPr>
            <w:tcW w:w="549" w:type="pct"/>
            <w:vAlign w:val="center"/>
            <w:hideMark/>
          </w:tcPr>
          <w:p w14:paraId="61487537" w14:textId="77777777" w:rsidR="00A72413" w:rsidRPr="00A72413" w:rsidRDefault="00A72413" w:rsidP="00985072">
            <w:pPr>
              <w:spacing w:line="276" w:lineRule="auto"/>
              <w:jc w:val="center"/>
              <w:rPr>
                <w:lang w:val="ru-RU"/>
              </w:rPr>
            </w:pPr>
            <w:r w:rsidRPr="00A72413">
              <w:rPr>
                <w:lang w:val="ru-RU"/>
              </w:rPr>
              <w:t>11,05</w:t>
            </w:r>
          </w:p>
        </w:tc>
        <w:tc>
          <w:tcPr>
            <w:tcW w:w="549" w:type="pct"/>
            <w:vAlign w:val="center"/>
            <w:hideMark/>
          </w:tcPr>
          <w:p w14:paraId="33C59992" w14:textId="77777777" w:rsidR="00A72413" w:rsidRPr="00A72413" w:rsidRDefault="00A72413" w:rsidP="00985072">
            <w:pPr>
              <w:spacing w:line="276" w:lineRule="auto"/>
              <w:jc w:val="center"/>
              <w:rPr>
                <w:lang w:val="ru-RU"/>
              </w:rPr>
            </w:pPr>
            <w:r w:rsidRPr="00A72413">
              <w:rPr>
                <w:lang w:val="ru-RU"/>
              </w:rPr>
              <w:t>12,54</w:t>
            </w:r>
          </w:p>
        </w:tc>
        <w:tc>
          <w:tcPr>
            <w:tcW w:w="549" w:type="pct"/>
            <w:vAlign w:val="center"/>
            <w:hideMark/>
          </w:tcPr>
          <w:p w14:paraId="3EA140AB" w14:textId="77777777" w:rsidR="00A72413" w:rsidRPr="00A72413" w:rsidRDefault="00A72413" w:rsidP="00985072">
            <w:pPr>
              <w:spacing w:line="276" w:lineRule="auto"/>
              <w:jc w:val="center"/>
              <w:rPr>
                <w:lang w:val="ru-RU"/>
              </w:rPr>
            </w:pPr>
            <w:r w:rsidRPr="00A72413">
              <w:rPr>
                <w:lang w:val="ru-RU"/>
              </w:rPr>
              <w:t>13,31</w:t>
            </w:r>
          </w:p>
        </w:tc>
        <w:tc>
          <w:tcPr>
            <w:tcW w:w="549" w:type="pct"/>
            <w:vAlign w:val="center"/>
            <w:hideMark/>
          </w:tcPr>
          <w:p w14:paraId="4B3AB6AA" w14:textId="77777777" w:rsidR="00A72413" w:rsidRPr="00A72413" w:rsidRDefault="00A72413" w:rsidP="00985072">
            <w:pPr>
              <w:spacing w:line="276" w:lineRule="auto"/>
              <w:jc w:val="center"/>
              <w:rPr>
                <w:lang w:val="ru-RU"/>
              </w:rPr>
            </w:pPr>
            <w:r w:rsidRPr="00A72413">
              <w:rPr>
                <w:lang w:val="ru-RU"/>
              </w:rPr>
              <w:t>15,18</w:t>
            </w:r>
          </w:p>
        </w:tc>
      </w:tr>
      <w:tr w:rsidR="00A72413" w:rsidRPr="00A72413" w14:paraId="0EBC193D" w14:textId="77777777" w:rsidTr="00A72413">
        <w:tc>
          <w:tcPr>
            <w:tcW w:w="2255" w:type="pct"/>
            <w:vAlign w:val="center"/>
            <w:hideMark/>
          </w:tcPr>
          <w:p w14:paraId="5AAAF9D5" w14:textId="77777777" w:rsidR="00A72413" w:rsidRPr="00A72413" w:rsidRDefault="00A72413" w:rsidP="00985072">
            <w:pPr>
              <w:spacing w:line="276" w:lineRule="auto"/>
              <w:jc w:val="center"/>
              <w:rPr>
                <w:lang w:val="ru-RU"/>
              </w:rPr>
            </w:pPr>
            <w:r w:rsidRPr="00A72413">
              <w:rPr>
                <w:lang w:val="ru-RU"/>
              </w:rPr>
              <w:t>Berilgan kredit (mlrd BDT)</w:t>
            </w:r>
          </w:p>
        </w:tc>
        <w:tc>
          <w:tcPr>
            <w:tcW w:w="549" w:type="pct"/>
            <w:vAlign w:val="center"/>
            <w:hideMark/>
          </w:tcPr>
          <w:p w14:paraId="6C3F447B" w14:textId="77777777" w:rsidR="00A72413" w:rsidRPr="00A72413" w:rsidRDefault="00A72413" w:rsidP="00985072">
            <w:pPr>
              <w:spacing w:line="276" w:lineRule="auto"/>
              <w:jc w:val="center"/>
              <w:rPr>
                <w:lang w:val="ru-RU"/>
              </w:rPr>
            </w:pPr>
            <w:r w:rsidRPr="00A72413">
              <w:rPr>
                <w:lang w:val="ru-RU"/>
              </w:rPr>
              <w:t>22,94</w:t>
            </w:r>
          </w:p>
        </w:tc>
        <w:tc>
          <w:tcPr>
            <w:tcW w:w="549" w:type="pct"/>
            <w:vAlign w:val="center"/>
            <w:hideMark/>
          </w:tcPr>
          <w:p w14:paraId="5233164C" w14:textId="77777777" w:rsidR="00A72413" w:rsidRPr="00A72413" w:rsidRDefault="00A72413" w:rsidP="00985072">
            <w:pPr>
              <w:spacing w:line="276" w:lineRule="auto"/>
              <w:jc w:val="center"/>
              <w:rPr>
                <w:lang w:val="ru-RU"/>
              </w:rPr>
            </w:pPr>
            <w:r w:rsidRPr="00A72413">
              <w:rPr>
                <w:lang w:val="ru-RU"/>
              </w:rPr>
              <w:t>22,89</w:t>
            </w:r>
          </w:p>
        </w:tc>
        <w:tc>
          <w:tcPr>
            <w:tcW w:w="549" w:type="pct"/>
            <w:vAlign w:val="center"/>
            <w:hideMark/>
          </w:tcPr>
          <w:p w14:paraId="0CEB45F1" w14:textId="77777777" w:rsidR="00A72413" w:rsidRPr="00A72413" w:rsidRDefault="00A72413" w:rsidP="00985072">
            <w:pPr>
              <w:spacing w:line="276" w:lineRule="auto"/>
              <w:jc w:val="center"/>
              <w:rPr>
                <w:lang w:val="ru-RU"/>
              </w:rPr>
            </w:pPr>
            <w:r w:rsidRPr="00A72413">
              <w:rPr>
                <w:lang w:val="ru-RU"/>
              </w:rPr>
              <w:t>31,57</w:t>
            </w:r>
          </w:p>
        </w:tc>
        <w:tc>
          <w:tcPr>
            <w:tcW w:w="549" w:type="pct"/>
            <w:vAlign w:val="center"/>
            <w:hideMark/>
          </w:tcPr>
          <w:p w14:paraId="38E6EA58" w14:textId="77777777" w:rsidR="00A72413" w:rsidRPr="00A72413" w:rsidRDefault="00A72413" w:rsidP="00985072">
            <w:pPr>
              <w:spacing w:line="276" w:lineRule="auto"/>
              <w:jc w:val="center"/>
              <w:rPr>
                <w:lang w:val="ru-RU"/>
              </w:rPr>
            </w:pPr>
            <w:r w:rsidRPr="00A72413">
              <w:rPr>
                <w:lang w:val="ru-RU"/>
              </w:rPr>
              <w:t>39,78</w:t>
            </w:r>
          </w:p>
        </w:tc>
        <w:tc>
          <w:tcPr>
            <w:tcW w:w="549" w:type="pct"/>
            <w:vAlign w:val="center"/>
            <w:hideMark/>
          </w:tcPr>
          <w:p w14:paraId="0DB909DD" w14:textId="77777777" w:rsidR="00A72413" w:rsidRPr="00A72413" w:rsidRDefault="00A72413" w:rsidP="00985072">
            <w:pPr>
              <w:spacing w:line="276" w:lineRule="auto"/>
              <w:jc w:val="center"/>
              <w:rPr>
                <w:lang w:val="ru-RU"/>
              </w:rPr>
            </w:pPr>
            <w:r w:rsidRPr="00A72413">
              <w:rPr>
                <w:lang w:val="ru-RU"/>
              </w:rPr>
              <w:t>36,40</w:t>
            </w:r>
          </w:p>
        </w:tc>
      </w:tr>
    </w:tbl>
    <w:p w14:paraId="32E80AB9" w14:textId="77777777" w:rsidR="00985072" w:rsidRDefault="00985072" w:rsidP="00985072">
      <w:pPr>
        <w:spacing w:after="0" w:line="276" w:lineRule="auto"/>
        <w:ind w:firstLine="709"/>
        <w:jc w:val="both"/>
      </w:pPr>
    </w:p>
    <w:p w14:paraId="4AB93565" w14:textId="69CB2F72" w:rsidR="00A72413" w:rsidRPr="004266E1" w:rsidRDefault="00A72413" w:rsidP="00985072">
      <w:pPr>
        <w:spacing w:after="0" w:line="276" w:lineRule="auto"/>
        <w:ind w:firstLine="709"/>
        <w:jc w:val="both"/>
      </w:pPr>
      <w:r w:rsidRPr="00A72413">
        <w:t>Yuqoridagi</w:t>
      </w:r>
      <w:r w:rsidRPr="004266E1">
        <w:t xml:space="preserve"> 5-</w:t>
      </w:r>
      <w:r w:rsidRPr="00A72413">
        <w:t>jadvaldan</w:t>
      </w:r>
      <w:r w:rsidRPr="004266E1">
        <w:t xml:space="preserve">  </w:t>
      </w:r>
      <w:r w:rsidRPr="00A72413">
        <w:t>ko</w:t>
      </w:r>
      <w:r w:rsidRPr="004266E1">
        <w:t>‘</w:t>
      </w:r>
      <w:r w:rsidRPr="00A72413">
        <w:t>rinib</w:t>
      </w:r>
      <w:r w:rsidRPr="004266E1">
        <w:t xml:space="preserve"> </w:t>
      </w:r>
      <w:r w:rsidRPr="00A72413">
        <w:t>turibdiki</w:t>
      </w:r>
      <w:r w:rsidRPr="004266E1">
        <w:t>, 2019-2023-</w:t>
      </w:r>
      <w:r w:rsidRPr="00A72413">
        <w:t>yillar</w:t>
      </w:r>
      <w:r w:rsidRPr="004266E1">
        <w:t xml:space="preserve"> </w:t>
      </w:r>
      <w:r w:rsidRPr="00A72413">
        <w:t>davomida</w:t>
      </w:r>
      <w:r w:rsidRPr="004266E1">
        <w:t xml:space="preserve"> </w:t>
      </w:r>
      <w:r w:rsidRPr="00A72413">
        <w:t>banklar</w:t>
      </w:r>
      <w:r w:rsidRPr="004266E1">
        <w:t xml:space="preserve"> </w:t>
      </w:r>
      <w:r w:rsidRPr="00A72413">
        <w:t>orqali</w:t>
      </w:r>
      <w:r w:rsidRPr="004266E1">
        <w:t xml:space="preserve"> </w:t>
      </w:r>
      <w:r w:rsidRPr="00A72413">
        <w:t>mikromoliya</w:t>
      </w:r>
      <w:r w:rsidRPr="004266E1">
        <w:t xml:space="preserve"> </w:t>
      </w:r>
      <w:r w:rsidRPr="00A72413">
        <w:t>segmentida</w:t>
      </w:r>
      <w:r w:rsidRPr="004266E1">
        <w:t xml:space="preserve"> </w:t>
      </w:r>
      <w:r w:rsidRPr="00A72413">
        <w:t>mijozlar</w:t>
      </w:r>
      <w:r w:rsidRPr="004266E1">
        <w:t xml:space="preserve"> </w:t>
      </w:r>
      <w:r w:rsidRPr="00A72413">
        <w:t>soni</w:t>
      </w:r>
      <w:r w:rsidRPr="004266E1">
        <w:t xml:space="preserve"> </w:t>
      </w:r>
      <w:r w:rsidRPr="00A72413">
        <w:t>deyarli</w:t>
      </w:r>
      <w:r w:rsidRPr="004266E1">
        <w:t xml:space="preserve"> 2 </w:t>
      </w:r>
      <w:r w:rsidRPr="00A72413">
        <w:t>baravar</w:t>
      </w:r>
      <w:r w:rsidRPr="004266E1">
        <w:t xml:space="preserve"> </w:t>
      </w:r>
      <w:r w:rsidRPr="00A72413">
        <w:t>o</w:t>
      </w:r>
      <w:r w:rsidRPr="004266E1">
        <w:t>‘</w:t>
      </w:r>
      <w:r w:rsidRPr="00A72413">
        <w:t>sib</w:t>
      </w:r>
      <w:r w:rsidRPr="004266E1">
        <w:t xml:space="preserve">, 2,15 </w:t>
      </w:r>
      <w:r w:rsidRPr="00A72413">
        <w:t>mln</w:t>
      </w:r>
      <w:r w:rsidRPr="004266E1">
        <w:t xml:space="preserve"> </w:t>
      </w:r>
      <w:r w:rsidRPr="00A72413">
        <w:t>kishiga</w:t>
      </w:r>
      <w:r w:rsidRPr="004266E1">
        <w:t xml:space="preserve"> </w:t>
      </w:r>
      <w:r w:rsidRPr="00A72413">
        <w:t>yetgan</w:t>
      </w:r>
      <w:r w:rsidRPr="004266E1">
        <w:t xml:space="preserve">. </w:t>
      </w:r>
      <w:r w:rsidRPr="00A72413">
        <w:t>Kredit</w:t>
      </w:r>
      <w:r w:rsidRPr="004266E1">
        <w:t xml:space="preserve"> </w:t>
      </w:r>
      <w:r w:rsidRPr="00A72413">
        <w:t>hajmi</w:t>
      </w:r>
      <w:r w:rsidRPr="004266E1">
        <w:t xml:space="preserve"> 2022-</w:t>
      </w:r>
      <w:r w:rsidRPr="00A72413">
        <w:t>yilda</w:t>
      </w:r>
      <w:r w:rsidRPr="004266E1">
        <w:t xml:space="preserve"> </w:t>
      </w:r>
      <w:r w:rsidRPr="00A72413">
        <w:t>eng</w:t>
      </w:r>
      <w:r w:rsidRPr="004266E1">
        <w:t xml:space="preserve"> </w:t>
      </w:r>
      <w:r w:rsidRPr="00A72413">
        <w:t>yuqori</w:t>
      </w:r>
      <w:r w:rsidRPr="004266E1">
        <w:t xml:space="preserve"> </w:t>
      </w:r>
      <w:r w:rsidRPr="00A72413">
        <w:t>darajaga</w:t>
      </w:r>
      <w:r w:rsidRPr="004266E1">
        <w:t xml:space="preserve"> (39,78 </w:t>
      </w:r>
      <w:r w:rsidRPr="00A72413">
        <w:t>mlrd</w:t>
      </w:r>
      <w:r w:rsidRPr="004266E1">
        <w:t xml:space="preserve"> </w:t>
      </w:r>
      <w:r w:rsidRPr="00A72413">
        <w:t>BDT</w:t>
      </w:r>
      <w:r w:rsidRPr="004266E1">
        <w:t xml:space="preserve">) </w:t>
      </w:r>
      <w:r w:rsidRPr="00A72413">
        <w:t>chiqqan</w:t>
      </w:r>
      <w:r w:rsidRPr="004266E1">
        <w:t xml:space="preserve"> </w:t>
      </w:r>
      <w:r w:rsidRPr="00A72413">
        <w:t>bo</w:t>
      </w:r>
      <w:r w:rsidRPr="004266E1">
        <w:t>‘</w:t>
      </w:r>
      <w:r w:rsidRPr="00A72413">
        <w:t>lsa</w:t>
      </w:r>
      <w:r w:rsidRPr="004266E1">
        <w:t>-</w:t>
      </w:r>
      <w:r w:rsidRPr="00A72413">
        <w:t>da</w:t>
      </w:r>
      <w:r w:rsidRPr="004266E1">
        <w:t>, 2023-</w:t>
      </w:r>
      <w:r w:rsidRPr="00A72413">
        <w:t>yilda</w:t>
      </w:r>
      <w:r w:rsidRPr="004266E1">
        <w:t xml:space="preserve"> </w:t>
      </w:r>
      <w:r w:rsidRPr="00A72413">
        <w:t>biroz</w:t>
      </w:r>
      <w:r w:rsidRPr="004266E1">
        <w:t xml:space="preserve"> </w:t>
      </w:r>
      <w:r w:rsidRPr="00A72413">
        <w:t>pasayib</w:t>
      </w:r>
      <w:r w:rsidRPr="004266E1">
        <w:t xml:space="preserve">, 36,40 </w:t>
      </w:r>
      <w:r w:rsidRPr="00A72413">
        <w:t>mlrd</w:t>
      </w:r>
      <w:r w:rsidRPr="004266E1">
        <w:t xml:space="preserve"> </w:t>
      </w:r>
      <w:r w:rsidRPr="00A72413">
        <w:t>BDTni</w:t>
      </w:r>
      <w:r w:rsidRPr="004266E1">
        <w:t xml:space="preserve"> </w:t>
      </w:r>
      <w:r w:rsidRPr="00A72413">
        <w:t>tashkil</w:t>
      </w:r>
      <w:r w:rsidRPr="004266E1">
        <w:t xml:space="preserve"> </w:t>
      </w:r>
      <w:r w:rsidRPr="00A72413">
        <w:t>etgan</w:t>
      </w:r>
      <w:r w:rsidRPr="004266E1">
        <w:t>.</w:t>
      </w:r>
    </w:p>
    <w:p w14:paraId="1AD9B338" w14:textId="5FAEA068" w:rsidR="00844365" w:rsidRDefault="00A72413" w:rsidP="00985072">
      <w:pPr>
        <w:spacing w:after="0" w:line="276" w:lineRule="auto"/>
        <w:ind w:firstLine="709"/>
        <w:jc w:val="both"/>
      </w:pPr>
      <w:r>
        <w:t>Bangladesh</w:t>
      </w:r>
      <w:r w:rsidRPr="00A72413">
        <w:t xml:space="preserve"> </w:t>
      </w:r>
      <w:r>
        <w:t>Respublikasining</w:t>
      </w:r>
      <w:r w:rsidRPr="00A72413">
        <w:t xml:space="preserve"> 90 </w:t>
      </w:r>
      <w:r>
        <w:t>foizdan</w:t>
      </w:r>
      <w:r w:rsidRPr="00A72413">
        <w:t xml:space="preserve"> </w:t>
      </w:r>
      <w:r>
        <w:t>ortiq</w:t>
      </w:r>
      <w:r w:rsidRPr="00A72413">
        <w:t xml:space="preserve"> </w:t>
      </w:r>
      <w:r>
        <w:t>aholisi</w:t>
      </w:r>
      <w:r w:rsidRPr="00A72413">
        <w:t xml:space="preserve"> </w:t>
      </w:r>
      <w:r>
        <w:t>musulmon</w:t>
      </w:r>
      <w:r w:rsidRPr="00A72413">
        <w:t xml:space="preserve"> </w:t>
      </w:r>
      <w:r>
        <w:t>bo</w:t>
      </w:r>
      <w:r w:rsidRPr="00A72413">
        <w:t>‘</w:t>
      </w:r>
      <w:r>
        <w:t>lgan</w:t>
      </w:r>
      <w:r w:rsidRPr="00A72413">
        <w:t xml:space="preserve"> </w:t>
      </w:r>
      <w:r>
        <w:t>davlat</w:t>
      </w:r>
      <w:r w:rsidRPr="00A72413">
        <w:t xml:space="preserve"> </w:t>
      </w:r>
      <w:r>
        <w:t>hisoblanadi</w:t>
      </w:r>
      <w:r w:rsidR="00185793">
        <w:rPr>
          <w:rStyle w:val="af0"/>
        </w:rPr>
        <w:footnoteReference w:id="19"/>
      </w:r>
      <w:r>
        <w:t>. Shu sababli, aholi o‘rtasida islom moliyasi xizmatlariga bo‘lgan talab yuqori hisoblanadi.</w:t>
      </w:r>
      <w:r w:rsidRPr="00A72413">
        <w:t xml:space="preserve"> </w:t>
      </w:r>
      <w:r>
        <w:t>Butun</w:t>
      </w:r>
      <w:r w:rsidRPr="00A72413">
        <w:t xml:space="preserve"> </w:t>
      </w:r>
      <w:r>
        <w:t>dunyoga</w:t>
      </w:r>
      <w:r w:rsidRPr="00A72413">
        <w:t xml:space="preserve"> </w:t>
      </w:r>
      <w:r>
        <w:t>tanilgan</w:t>
      </w:r>
      <w:r w:rsidRPr="00A72413">
        <w:t xml:space="preserve"> </w:t>
      </w:r>
      <w:r>
        <w:t>islom</w:t>
      </w:r>
      <w:r w:rsidRPr="00A72413">
        <w:t xml:space="preserve"> </w:t>
      </w:r>
      <w:r>
        <w:t>mikromoliya</w:t>
      </w:r>
      <w:r w:rsidRPr="00A72413">
        <w:t xml:space="preserve"> </w:t>
      </w:r>
      <w:r>
        <w:t>modeli</w:t>
      </w:r>
      <w:r w:rsidRPr="00A72413">
        <w:t xml:space="preserve"> </w:t>
      </w:r>
      <w:r>
        <w:t xml:space="preserve">– </w:t>
      </w:r>
      <w:r w:rsidRPr="009947BD">
        <w:t>Islami Bank Bangladesh PLC</w:t>
      </w:r>
      <w:r w:rsidR="00844365">
        <w:t xml:space="preserve"> (</w:t>
      </w:r>
      <w:r w:rsidR="00844365" w:rsidRPr="00643E3C">
        <w:t>IBB</w:t>
      </w:r>
      <w:r w:rsidR="00844365">
        <w:t>PLC)</w:t>
      </w:r>
      <w:r w:rsidRPr="00A72413">
        <w:t xml:space="preserve"> </w:t>
      </w:r>
      <w:r>
        <w:t>doirasidagi</w:t>
      </w:r>
      <w:r w:rsidRPr="00A72413">
        <w:t xml:space="preserve"> </w:t>
      </w:r>
      <w:r w:rsidR="00844365" w:rsidRPr="00844365">
        <w:t>“</w:t>
      </w:r>
      <w:r w:rsidR="00844365">
        <w:t>Q</w:t>
      </w:r>
      <w:r w:rsidR="00844365" w:rsidRPr="00844365">
        <w:t>ishloq hududlarini rivojlantirish dasturi”</w:t>
      </w:r>
      <w:r w:rsidR="00844365">
        <w:t xml:space="preserve"> (Rural development scheme, </w:t>
      </w:r>
      <w:r w:rsidR="00162CB1" w:rsidRPr="005342C0">
        <w:t>RDS</w:t>
      </w:r>
      <w:r w:rsidR="00844365">
        <w:t>)</w:t>
      </w:r>
      <w:r w:rsidR="00162CB1" w:rsidRPr="00A72413">
        <w:t xml:space="preserve"> </w:t>
      </w:r>
      <w:r w:rsidR="00162CB1" w:rsidRPr="005342C0">
        <w:t>dasturi</w:t>
      </w:r>
      <w:r w:rsidR="00844365">
        <w:t xml:space="preserve"> aynan islom mikromoliyasi xizmatlarini aholiga ko‘rsatib keladi. </w:t>
      </w:r>
    </w:p>
    <w:p w14:paraId="60417F8B" w14:textId="417C1397" w:rsidR="005342C0" w:rsidRPr="005342C0" w:rsidRDefault="00D8211E" w:rsidP="00985072">
      <w:pPr>
        <w:spacing w:after="0" w:line="276" w:lineRule="auto"/>
        <w:ind w:firstLine="709"/>
        <w:jc w:val="both"/>
      </w:pPr>
      <w:r w:rsidRPr="00643E3C">
        <w:t>IBB</w:t>
      </w:r>
      <w:r>
        <w:t>PLC</w:t>
      </w:r>
      <w:r w:rsidR="00162CB1" w:rsidRPr="005342C0">
        <w:t>ning eng muhim maqsadlaridan biri – shahar va qishloq o‘rtasidagi nomutanosiblikni kamaytirish hamda muvozanatli islom iqtisodiyot</w:t>
      </w:r>
      <w:r w:rsidR="000A4E65" w:rsidRPr="005342C0">
        <w:t>i</w:t>
      </w:r>
      <w:r w:rsidR="00162CB1" w:rsidRPr="005342C0">
        <w:t xml:space="preserve">ni barpo etishdir. Shu maqsadda, 1995-yilda </w:t>
      </w:r>
      <w:r w:rsidRPr="00643E3C">
        <w:t>IBB</w:t>
      </w:r>
      <w:r>
        <w:t>PLC</w:t>
      </w:r>
      <w:r w:rsidR="00162CB1" w:rsidRPr="005342C0">
        <w:t xml:space="preserve"> tarkibida Rural Development Scheme RDS dasturi ishga tushirilgan</w:t>
      </w:r>
      <w:r w:rsidR="00185793">
        <w:rPr>
          <w:rStyle w:val="af0"/>
        </w:rPr>
        <w:footnoteReference w:id="20"/>
      </w:r>
      <w:r w:rsidR="00162CB1" w:rsidRPr="005342C0">
        <w:t>.</w:t>
      </w:r>
      <w:r w:rsidR="005342C0" w:rsidRPr="005342C0">
        <w:t xml:space="preserve"> </w:t>
      </w:r>
    </w:p>
    <w:p w14:paraId="55AA6397" w14:textId="1A88B72A" w:rsidR="00162CB1" w:rsidRPr="005342C0" w:rsidRDefault="00162CB1" w:rsidP="00985072">
      <w:pPr>
        <w:spacing w:after="0" w:line="276" w:lineRule="auto"/>
        <w:ind w:firstLine="709"/>
        <w:jc w:val="both"/>
      </w:pPr>
      <w:r w:rsidRPr="005342C0">
        <w:t xml:space="preserve">Dastur orqali qishloq va qishloq xo‘jaligi sektoridagi investitsiya imkoniyatlarini kengaytirish, bandlikni oshirish hamda qishloq aholisi daromadlarini ko‘paytirish ko‘zda tutilgan. Shu yo‘l bilan qashshoqlikka qarshi kurashish maqsad qilingan. </w:t>
      </w:r>
      <w:r w:rsidR="00D8211E" w:rsidRPr="00643E3C">
        <w:t>IBB</w:t>
      </w:r>
      <w:r w:rsidR="00D8211E">
        <w:t>PLC</w:t>
      </w:r>
      <w:r w:rsidRPr="005342C0">
        <w:t xml:space="preserve"> ushbu dastur mamlakatdagi birinchi islom mikromoliya modeli ekanini ta’kidlaydi.</w:t>
      </w:r>
    </w:p>
    <w:p w14:paraId="04BB79B7" w14:textId="20CD7643" w:rsidR="00162CB1" w:rsidRPr="005342C0" w:rsidRDefault="00162CB1" w:rsidP="00985072">
      <w:pPr>
        <w:spacing w:after="0" w:line="276" w:lineRule="auto"/>
        <w:ind w:firstLine="709"/>
        <w:jc w:val="both"/>
      </w:pPr>
      <w:r w:rsidRPr="005342C0">
        <w:t>Dastur</w:t>
      </w:r>
      <w:r w:rsidR="005342C0" w:rsidRPr="005342C0">
        <w:t>ning</w:t>
      </w:r>
      <w:r w:rsidRPr="005342C0">
        <w:t xml:space="preserve"> asosiy maqsadlari quyidagilardan iborat</w:t>
      </w:r>
      <w:r w:rsidR="00185793">
        <w:rPr>
          <w:rStyle w:val="af0"/>
        </w:rPr>
        <w:footnoteReference w:id="21"/>
      </w:r>
      <w:r w:rsidRPr="005342C0">
        <w:t>:</w:t>
      </w:r>
    </w:p>
    <w:p w14:paraId="27391D80" w14:textId="77777777" w:rsidR="00162CB1" w:rsidRPr="00643E3C" w:rsidRDefault="00162CB1" w:rsidP="00985072">
      <w:pPr>
        <w:numPr>
          <w:ilvl w:val="0"/>
          <w:numId w:val="1"/>
        </w:numPr>
        <w:tabs>
          <w:tab w:val="clear" w:pos="720"/>
          <w:tab w:val="left" w:pos="1134"/>
        </w:tabs>
        <w:spacing w:after="0" w:line="276" w:lineRule="auto"/>
        <w:ind w:left="0" w:firstLine="709"/>
        <w:jc w:val="both"/>
      </w:pPr>
      <w:r w:rsidRPr="00643E3C">
        <w:lastRenderedPageBreak/>
        <w:t>Qishloq hududlarida qishloq xo‘jaligi, dehqonchilik va qishloq xo‘jaligidan tashqari faoliyatlarda investitsiya imkoniyatlarini kengaytirish;</w:t>
      </w:r>
    </w:p>
    <w:p w14:paraId="552D7DEE" w14:textId="77777777" w:rsidR="00162CB1" w:rsidRPr="00643E3C" w:rsidRDefault="00162CB1" w:rsidP="00985072">
      <w:pPr>
        <w:numPr>
          <w:ilvl w:val="0"/>
          <w:numId w:val="1"/>
        </w:numPr>
        <w:tabs>
          <w:tab w:val="clear" w:pos="720"/>
          <w:tab w:val="left" w:pos="1134"/>
        </w:tabs>
        <w:spacing w:after="0" w:line="276" w:lineRule="auto"/>
        <w:ind w:left="0" w:firstLine="709"/>
        <w:jc w:val="both"/>
      </w:pPr>
      <w:r w:rsidRPr="00643E3C">
        <w:t>Ayniqsa qishloqlardagi ishsiz yoshlar va kambag‘allar uchun o‘zini o‘zi band qilish hamda daromad keltiruvchi faoliyatlarni moliyalashtirish;</w:t>
      </w:r>
    </w:p>
    <w:p w14:paraId="4D4509C6" w14:textId="77777777" w:rsidR="00162CB1" w:rsidRPr="00643E3C" w:rsidRDefault="00162CB1" w:rsidP="00985072">
      <w:pPr>
        <w:numPr>
          <w:ilvl w:val="0"/>
          <w:numId w:val="1"/>
        </w:numPr>
        <w:tabs>
          <w:tab w:val="clear" w:pos="720"/>
          <w:tab w:val="left" w:pos="1134"/>
        </w:tabs>
        <w:spacing w:after="0" w:line="276" w:lineRule="auto"/>
        <w:ind w:left="0" w:firstLine="709"/>
        <w:jc w:val="both"/>
      </w:pPr>
      <w:r w:rsidRPr="00643E3C">
        <w:t>Integratsiyalashgan qishloq rivojlanishi yondashuvi orqali qishloqdagi qashshoqlikni kamaytirish;</w:t>
      </w:r>
    </w:p>
    <w:p w14:paraId="6C94C380" w14:textId="77777777" w:rsidR="00162CB1" w:rsidRPr="00643E3C" w:rsidRDefault="00162CB1" w:rsidP="00985072">
      <w:pPr>
        <w:numPr>
          <w:ilvl w:val="0"/>
          <w:numId w:val="1"/>
        </w:numPr>
        <w:tabs>
          <w:tab w:val="clear" w:pos="720"/>
          <w:tab w:val="left" w:pos="1134"/>
        </w:tabs>
        <w:spacing w:after="0" w:line="276" w:lineRule="auto"/>
        <w:ind w:left="0" w:firstLine="709"/>
        <w:jc w:val="both"/>
      </w:pPr>
      <w:r w:rsidRPr="00643E3C">
        <w:t>Qishloq aholisi uchun suv nasoslari, uy-joy, toza ichimlik suvi kabi imkoniyatlarni kengaytirishga yo‘naltirilgan investitsiyalarni qo‘llab-quvvatlash;</w:t>
      </w:r>
    </w:p>
    <w:p w14:paraId="221CE5C9" w14:textId="77777777" w:rsidR="00162CB1" w:rsidRPr="00643E3C" w:rsidRDefault="00162CB1" w:rsidP="00985072">
      <w:pPr>
        <w:numPr>
          <w:ilvl w:val="0"/>
          <w:numId w:val="1"/>
        </w:numPr>
        <w:tabs>
          <w:tab w:val="clear" w:pos="720"/>
          <w:tab w:val="left" w:pos="1134"/>
        </w:tabs>
        <w:spacing w:after="0" w:line="276" w:lineRule="auto"/>
        <w:ind w:left="0" w:firstLine="709"/>
        <w:jc w:val="both"/>
      </w:pPr>
      <w:r w:rsidRPr="00643E3C">
        <w:t>O‘ta qashshoq aholi qatlamiga ta’lim va sog‘liqni saqlash xizmatlarini taqdim etish.</w:t>
      </w:r>
    </w:p>
    <w:p w14:paraId="49A8133B" w14:textId="77777777" w:rsidR="00162CB1" w:rsidRPr="005342C0" w:rsidRDefault="00162CB1" w:rsidP="00985072">
      <w:pPr>
        <w:spacing w:after="0" w:line="276" w:lineRule="auto"/>
        <w:ind w:firstLine="709"/>
        <w:jc w:val="both"/>
      </w:pPr>
      <w:r w:rsidRPr="00643E3C">
        <w:t xml:space="preserve">Umuman olganda, dastur qishloqlarda istiqomat qiluvchi kam daromadli aholining turmush sifatini yaxshilash uchun moliyaviy va nomoliyaviy xizmatlarni taqdim etishni maqsad </w:t>
      </w:r>
      <w:r w:rsidRPr="005342C0">
        <w:t>qiladi. Integratsiyalashgan rivojlanish yondashuvi va korporativ ijtimoiy mas’uliyat orqali maqsadli guruhlarga nafaqat mikroinvestitsiya imkoniyatlari, balki ta’lim, salohiyatni oshirish, insonparvarlik yordami, sog‘liqni saqlash, atrof-muhitni muhofaza qilish kabi ko‘plab qo‘shimcha xizmatlar ham ko‘rsatiladi. Bu jarayonda tijorat maqsadlari ko‘zlanmaganini ham ta’kidlash mumkin.</w:t>
      </w:r>
    </w:p>
    <w:p w14:paraId="01348443" w14:textId="118923B6" w:rsidR="000A4E65" w:rsidRPr="00643E3C" w:rsidRDefault="00162CB1" w:rsidP="00985072">
      <w:pPr>
        <w:spacing w:after="0" w:line="276" w:lineRule="auto"/>
        <w:ind w:firstLine="709"/>
        <w:jc w:val="both"/>
      </w:pPr>
      <w:r w:rsidRPr="005342C0">
        <w:t>Dastur maqsadlariga muvofiq, RDSning maqsadli hudud va guruhlari aniqlanadi. Dastur dastlab qishloqlarda kichik pilot loyihalar shaklida sinovdan</w:t>
      </w:r>
      <w:r w:rsidRPr="00643E3C">
        <w:t xml:space="preserve"> o‘tkazilgan bo‘lib, ular eng yaqin </w:t>
      </w:r>
      <w:r w:rsidR="00D8211E" w:rsidRPr="00643E3C">
        <w:t>IBB</w:t>
      </w:r>
      <w:r w:rsidR="00D8211E">
        <w:t>PLC</w:t>
      </w:r>
      <w:r w:rsidRPr="00643E3C">
        <w:t xml:space="preserve"> filiali nazorati ostida amalga oshirilgan. Dastur muvaffaqiyatli bo‘lgach, bosqichma-bosqich barcha filiallar qamroviga kengaytirilgan.</w:t>
      </w:r>
      <w:r w:rsidR="000A4E65" w:rsidRPr="00643E3C">
        <w:t xml:space="preserve"> </w:t>
      </w:r>
    </w:p>
    <w:p w14:paraId="41D7EBA1" w14:textId="7794AAC6" w:rsidR="00162CB1" w:rsidRPr="005342C0" w:rsidRDefault="00162CB1" w:rsidP="00985072">
      <w:pPr>
        <w:spacing w:after="0" w:line="276" w:lineRule="auto"/>
        <w:ind w:firstLine="709"/>
        <w:jc w:val="both"/>
      </w:pPr>
      <w:r w:rsidRPr="00643E3C">
        <w:t>Har bir filial o‘zidan 10 km radiusdagi qishloqlarni maqsadli hudud sifatida belgilaydi. Qishloqlar tanlashda transport qulayligi, qishloq xo‘jaligi va boshqa xo‘jalik faoliyatlarining mavjudligi, past daromadli aholining ko‘pligi kabi mezonlar asos qilib olinadi. Har bir loyiha hududi odatda 4</w:t>
      </w:r>
      <w:r w:rsidR="000A4E65" w:rsidRPr="00643E3C">
        <w:t>-</w:t>
      </w:r>
      <w:r w:rsidRPr="00643E3C">
        <w:t xml:space="preserve">6 ta qishloqdan iborat bo‘ladi. Shuningdek, </w:t>
      </w:r>
      <w:r w:rsidRPr="005342C0">
        <w:t>tanlangan hudud bo‘yicha filial iqtisodiy faoliyat turlari va ehtiyojlarni aniqlash uchun texnik-iqtisodiy asoslash tahlilini o‘tkazadi.</w:t>
      </w:r>
    </w:p>
    <w:p w14:paraId="13774FAA" w14:textId="77777777" w:rsidR="00162CB1" w:rsidRPr="005342C0" w:rsidRDefault="00162CB1" w:rsidP="00985072">
      <w:pPr>
        <w:spacing w:after="0" w:line="276" w:lineRule="auto"/>
        <w:ind w:firstLine="709"/>
        <w:jc w:val="both"/>
      </w:pPr>
      <w:r w:rsidRPr="005342C0">
        <w:t>Mazkur jarayon doirasida har bir filial kamida 400 ta maqsadli guruh tashkil etishi talab etiladi.</w:t>
      </w:r>
    </w:p>
    <w:p w14:paraId="73AD57EE" w14:textId="2CD156A4" w:rsidR="00162CB1" w:rsidRPr="001B39EA" w:rsidRDefault="00162CB1" w:rsidP="00985072">
      <w:pPr>
        <w:spacing w:after="0" w:line="276" w:lineRule="auto"/>
        <w:ind w:firstLine="709"/>
        <w:jc w:val="both"/>
      </w:pPr>
      <w:r w:rsidRPr="005342C0">
        <w:rPr>
          <w:i/>
          <w:iCs/>
        </w:rPr>
        <w:t>Moliyalashtirish usullari va jamg‘arma mahsulotlari</w:t>
      </w:r>
      <w:r w:rsidR="005342C0">
        <w:rPr>
          <w:i/>
          <w:iCs/>
        </w:rPr>
        <w:t xml:space="preserve">. </w:t>
      </w:r>
      <w:r w:rsidRPr="00643E3C">
        <w:t xml:space="preserve">RDS dasturi turli sohalar va ehtiyojlarga mos ravishda moliyalashtirish yo‘nalishlari hamda yuqori limitlarini belgilab qo‘ygan. Bu sohalar asosan qishloq xo‘jaligi va chorvachilik bilan bog‘liqdir </w:t>
      </w:r>
      <w:r w:rsidRPr="001B39EA">
        <w:t>(</w:t>
      </w:r>
      <w:r w:rsidR="00844365">
        <w:t>6</w:t>
      </w:r>
      <w:r w:rsidRPr="001B39EA">
        <w:t>-jadval).</w:t>
      </w:r>
    </w:p>
    <w:p w14:paraId="5C133015" w14:textId="21E90701" w:rsidR="00162CB1" w:rsidRPr="001B39EA" w:rsidRDefault="00162CB1" w:rsidP="00985072">
      <w:pPr>
        <w:spacing w:after="0" w:line="276" w:lineRule="auto"/>
        <w:ind w:firstLine="709"/>
        <w:jc w:val="both"/>
      </w:pPr>
      <w:r w:rsidRPr="001B39EA">
        <w:t xml:space="preserve">Moliyalashtirish bo‘yicha qo‘llaniladigan foyda normasi davlat hokimiyati tomonidan belgilanadi va vaqti-vaqti bilan qayta ko‘rib chiqiladi. Hozirgi vaqtda foiz </w:t>
      </w:r>
      <w:r w:rsidRPr="001B39EA">
        <w:lastRenderedPageBreak/>
        <w:t>stavkasi 12,5% qilib belgilangan bo‘lsa-da, qarzlarni o‘z vaqtida qaytargan mijozlarga rag‘bat sifatida 2,5% chegirma qo‘llanishi mumkin</w:t>
      </w:r>
      <w:r w:rsidR="00185793">
        <w:rPr>
          <w:rStyle w:val="af0"/>
        </w:rPr>
        <w:footnoteReference w:id="22"/>
      </w:r>
      <w:r w:rsidRPr="001B39EA">
        <w:t>.</w:t>
      </w:r>
    </w:p>
    <w:p w14:paraId="672881C0" w14:textId="7E1D22F3" w:rsidR="00162CB1" w:rsidRPr="001B39EA" w:rsidRDefault="00162CB1" w:rsidP="00985072">
      <w:pPr>
        <w:spacing w:after="0" w:line="276" w:lineRule="auto"/>
        <w:ind w:firstLine="709"/>
        <w:jc w:val="both"/>
      </w:pPr>
      <w:r w:rsidRPr="001B39EA">
        <w:t>Ikki turdagi moliyalashtirish usuli qo‘llaniladi. Bay’ mu’ajjal usulida bank mijoz talab qilgan tovarni sotuvchidan sotib olib, ustiga foyda qo‘shgan holda uni mijozga muddatli yoki kechiktirilgan bir martalik to‘lov asosida sotadi. Ushbu usul islom banklar</w:t>
      </w:r>
      <w:r w:rsidR="005342C0" w:rsidRPr="001B39EA">
        <w:t>i</w:t>
      </w:r>
      <w:r w:rsidRPr="001B39EA">
        <w:t xml:space="preserve"> tomonidan keng qo‘llaniladigan mur</w:t>
      </w:r>
      <w:r w:rsidR="005342C0" w:rsidRPr="001B39EA">
        <w:t>o</w:t>
      </w:r>
      <w:r w:rsidRPr="001B39EA">
        <w:t>baha usuliga juda o‘xshaydi.</w:t>
      </w:r>
    </w:p>
    <w:p w14:paraId="483832D8" w14:textId="6A9052A1" w:rsidR="001B39EA" w:rsidRPr="001B39EA" w:rsidRDefault="00844365" w:rsidP="00985072">
      <w:pPr>
        <w:spacing w:after="0" w:line="276" w:lineRule="auto"/>
        <w:ind w:firstLine="709"/>
        <w:jc w:val="right"/>
        <w:rPr>
          <w:b/>
          <w:bCs/>
        </w:rPr>
      </w:pPr>
      <w:r>
        <w:rPr>
          <w:b/>
          <w:bCs/>
        </w:rPr>
        <w:t>6</w:t>
      </w:r>
      <w:r w:rsidR="00162CB1" w:rsidRPr="001B39EA">
        <w:rPr>
          <w:b/>
          <w:bCs/>
        </w:rPr>
        <w:t>-jadval.</w:t>
      </w:r>
    </w:p>
    <w:p w14:paraId="180680B6" w14:textId="5F2CEEE0" w:rsidR="00162CB1" w:rsidRPr="001B39EA" w:rsidRDefault="00162CB1" w:rsidP="00985072">
      <w:pPr>
        <w:spacing w:after="0" w:line="276" w:lineRule="auto"/>
        <w:ind w:firstLine="709"/>
        <w:jc w:val="center"/>
        <w:rPr>
          <w:b/>
          <w:bCs/>
        </w:rPr>
      </w:pPr>
      <w:r w:rsidRPr="001B39EA">
        <w:rPr>
          <w:b/>
          <w:bCs/>
        </w:rPr>
        <w:t xml:space="preserve">RDS moliyalashtirish mahsulotlari muddati va yuqori </w:t>
      </w:r>
      <w:r w:rsidRPr="004D1C54">
        <w:rPr>
          <w:b/>
          <w:bCs/>
        </w:rPr>
        <w:t>limitlari</w:t>
      </w:r>
      <w:r w:rsidR="00185793">
        <w:rPr>
          <w:rStyle w:val="af0"/>
          <w:b/>
          <w:bCs/>
        </w:rPr>
        <w:footnoteReference w:id="23"/>
      </w:r>
    </w:p>
    <w:tbl>
      <w:tblPr>
        <w:tblStyle w:val="ac"/>
        <w:tblW w:w="0" w:type="auto"/>
        <w:tblLook w:val="04A0" w:firstRow="1" w:lastRow="0" w:firstColumn="1" w:lastColumn="0" w:noHBand="0" w:noVBand="1"/>
      </w:tblPr>
      <w:tblGrid>
        <w:gridCol w:w="498"/>
        <w:gridCol w:w="4884"/>
        <w:gridCol w:w="1417"/>
        <w:gridCol w:w="2880"/>
      </w:tblGrid>
      <w:tr w:rsidR="00C14D46" w:rsidRPr="004C7005" w14:paraId="4CAF0C45" w14:textId="77777777" w:rsidTr="000813E8">
        <w:tc>
          <w:tcPr>
            <w:tcW w:w="0" w:type="auto"/>
            <w:shd w:val="clear" w:color="auto" w:fill="BDD6EE" w:themeFill="accent1" w:themeFillTint="66"/>
          </w:tcPr>
          <w:p w14:paraId="1ECF93F6" w14:textId="0EE3615F" w:rsidR="00C14D46" w:rsidRPr="00C14D46" w:rsidRDefault="00C14D46" w:rsidP="00985072">
            <w:pPr>
              <w:spacing w:line="276" w:lineRule="auto"/>
              <w:jc w:val="center"/>
              <w:rPr>
                <w:b/>
                <w:bCs/>
                <w:lang w:val="ru-RU"/>
              </w:rPr>
            </w:pPr>
            <w:r>
              <w:rPr>
                <w:b/>
                <w:bCs/>
                <w:lang w:val="ru-RU"/>
              </w:rPr>
              <w:t>№</w:t>
            </w:r>
          </w:p>
        </w:tc>
        <w:tc>
          <w:tcPr>
            <w:tcW w:w="4884" w:type="dxa"/>
            <w:shd w:val="clear" w:color="auto" w:fill="BDD6EE" w:themeFill="accent1" w:themeFillTint="66"/>
            <w:vAlign w:val="center"/>
            <w:hideMark/>
          </w:tcPr>
          <w:p w14:paraId="4C84976A" w14:textId="20F2D484" w:rsidR="00C14D46" w:rsidRPr="00C14D46" w:rsidRDefault="00C14D46" w:rsidP="00985072">
            <w:pPr>
              <w:spacing w:line="276" w:lineRule="auto"/>
              <w:jc w:val="center"/>
              <w:rPr>
                <w:b/>
                <w:bCs/>
              </w:rPr>
            </w:pPr>
            <w:r w:rsidRPr="00C14D46">
              <w:rPr>
                <w:b/>
                <w:bCs/>
              </w:rPr>
              <w:t>Sektor</w:t>
            </w:r>
          </w:p>
        </w:tc>
        <w:tc>
          <w:tcPr>
            <w:tcW w:w="1417" w:type="dxa"/>
            <w:shd w:val="clear" w:color="auto" w:fill="BDD6EE" w:themeFill="accent1" w:themeFillTint="66"/>
            <w:vAlign w:val="center"/>
            <w:hideMark/>
          </w:tcPr>
          <w:p w14:paraId="15B19A6C" w14:textId="77777777" w:rsidR="00C14D46" w:rsidRPr="00C14D46" w:rsidRDefault="00C14D46" w:rsidP="00985072">
            <w:pPr>
              <w:spacing w:line="276" w:lineRule="auto"/>
              <w:jc w:val="center"/>
              <w:rPr>
                <w:b/>
                <w:bCs/>
              </w:rPr>
            </w:pPr>
            <w:r w:rsidRPr="00C14D46">
              <w:rPr>
                <w:b/>
                <w:bCs/>
              </w:rPr>
              <w:t>Muddati</w:t>
            </w:r>
          </w:p>
        </w:tc>
        <w:tc>
          <w:tcPr>
            <w:tcW w:w="2880" w:type="dxa"/>
            <w:shd w:val="clear" w:color="auto" w:fill="BDD6EE" w:themeFill="accent1" w:themeFillTint="66"/>
            <w:vAlign w:val="center"/>
            <w:hideMark/>
          </w:tcPr>
          <w:p w14:paraId="597DDDB3" w14:textId="1D89DF27" w:rsidR="00C14D46" w:rsidRPr="00C14D46" w:rsidRDefault="00C14D46" w:rsidP="00985072">
            <w:pPr>
              <w:spacing w:line="276" w:lineRule="auto"/>
              <w:jc w:val="center"/>
              <w:rPr>
                <w:b/>
                <w:bCs/>
              </w:rPr>
            </w:pPr>
            <w:r w:rsidRPr="00C14D46">
              <w:rPr>
                <w:b/>
                <w:bCs/>
              </w:rPr>
              <w:t>Beriladigan eng yuqori miqdor (BDT)</w:t>
            </w:r>
          </w:p>
        </w:tc>
      </w:tr>
      <w:tr w:rsidR="00C14D46" w:rsidRPr="004C7005" w14:paraId="58B2E645" w14:textId="77777777" w:rsidTr="000813E8">
        <w:tc>
          <w:tcPr>
            <w:tcW w:w="0" w:type="auto"/>
          </w:tcPr>
          <w:p w14:paraId="78432648" w14:textId="441B3262" w:rsidR="00C14D46" w:rsidRPr="00C14D46" w:rsidRDefault="00C14D46" w:rsidP="00985072">
            <w:pPr>
              <w:spacing w:line="276" w:lineRule="auto"/>
              <w:jc w:val="center"/>
              <w:rPr>
                <w:lang w:val="ru-RU"/>
              </w:rPr>
            </w:pPr>
            <w:r>
              <w:rPr>
                <w:lang w:val="ru-RU"/>
              </w:rPr>
              <w:t>1</w:t>
            </w:r>
          </w:p>
        </w:tc>
        <w:tc>
          <w:tcPr>
            <w:tcW w:w="4884" w:type="dxa"/>
            <w:vAlign w:val="center"/>
            <w:hideMark/>
          </w:tcPr>
          <w:p w14:paraId="727690A6" w14:textId="12CE9459" w:rsidR="00C14D46" w:rsidRPr="00C14D46" w:rsidRDefault="00C14D46" w:rsidP="00985072">
            <w:pPr>
              <w:spacing w:line="276" w:lineRule="auto"/>
            </w:pPr>
            <w:r w:rsidRPr="00C14D46">
              <w:t>Hosil yetishtirish</w:t>
            </w:r>
          </w:p>
        </w:tc>
        <w:tc>
          <w:tcPr>
            <w:tcW w:w="1417" w:type="dxa"/>
            <w:vAlign w:val="center"/>
            <w:hideMark/>
          </w:tcPr>
          <w:p w14:paraId="49982B7D" w14:textId="77777777" w:rsidR="00C14D46" w:rsidRPr="00C14D46" w:rsidRDefault="00C14D46" w:rsidP="00985072">
            <w:pPr>
              <w:spacing w:line="276" w:lineRule="auto"/>
              <w:jc w:val="center"/>
            </w:pPr>
            <w:r w:rsidRPr="00C14D46">
              <w:t>1 yil</w:t>
            </w:r>
          </w:p>
        </w:tc>
        <w:tc>
          <w:tcPr>
            <w:tcW w:w="2880" w:type="dxa"/>
            <w:vAlign w:val="center"/>
            <w:hideMark/>
          </w:tcPr>
          <w:p w14:paraId="6DC92590" w14:textId="77777777" w:rsidR="00C14D46" w:rsidRPr="00C14D46" w:rsidRDefault="00C14D46" w:rsidP="00985072">
            <w:pPr>
              <w:spacing w:line="276" w:lineRule="auto"/>
              <w:jc w:val="center"/>
            </w:pPr>
            <w:r w:rsidRPr="00C14D46">
              <w:t>25 000</w:t>
            </w:r>
          </w:p>
        </w:tc>
      </w:tr>
      <w:tr w:rsidR="00C14D46" w:rsidRPr="004C7005" w14:paraId="1ECDBB00" w14:textId="77777777" w:rsidTr="000813E8">
        <w:tc>
          <w:tcPr>
            <w:tcW w:w="0" w:type="auto"/>
          </w:tcPr>
          <w:p w14:paraId="50E71CC2" w14:textId="6268AE45" w:rsidR="00C14D46" w:rsidRPr="00C14D46" w:rsidRDefault="00C14D46" w:rsidP="00985072">
            <w:pPr>
              <w:spacing w:line="276" w:lineRule="auto"/>
              <w:jc w:val="center"/>
              <w:rPr>
                <w:lang w:val="ru-RU"/>
              </w:rPr>
            </w:pPr>
            <w:r>
              <w:rPr>
                <w:lang w:val="ru-RU"/>
              </w:rPr>
              <w:t>2</w:t>
            </w:r>
          </w:p>
        </w:tc>
        <w:tc>
          <w:tcPr>
            <w:tcW w:w="4884" w:type="dxa"/>
            <w:vAlign w:val="center"/>
            <w:hideMark/>
          </w:tcPr>
          <w:p w14:paraId="6238C0B4" w14:textId="2A256A2A" w:rsidR="00C14D46" w:rsidRPr="00C14D46" w:rsidRDefault="00C14D46" w:rsidP="00985072">
            <w:pPr>
              <w:spacing w:line="276" w:lineRule="auto"/>
            </w:pPr>
            <w:r w:rsidRPr="00C14D46">
              <w:t>Ko‘chatchilik va tijoriy gullar, meva yetishtirish</w:t>
            </w:r>
          </w:p>
        </w:tc>
        <w:tc>
          <w:tcPr>
            <w:tcW w:w="1417" w:type="dxa"/>
            <w:vAlign w:val="center"/>
            <w:hideMark/>
          </w:tcPr>
          <w:p w14:paraId="364598DA" w14:textId="77777777" w:rsidR="00C14D46" w:rsidRPr="00C14D46" w:rsidRDefault="00C14D46" w:rsidP="00985072">
            <w:pPr>
              <w:spacing w:line="276" w:lineRule="auto"/>
              <w:jc w:val="center"/>
            </w:pPr>
            <w:r w:rsidRPr="00C14D46">
              <w:t>1 yil</w:t>
            </w:r>
          </w:p>
        </w:tc>
        <w:tc>
          <w:tcPr>
            <w:tcW w:w="2880" w:type="dxa"/>
            <w:vAlign w:val="center"/>
            <w:hideMark/>
          </w:tcPr>
          <w:p w14:paraId="2705A668" w14:textId="77777777" w:rsidR="00C14D46" w:rsidRPr="00C14D46" w:rsidRDefault="00C14D46" w:rsidP="00985072">
            <w:pPr>
              <w:spacing w:line="276" w:lineRule="auto"/>
              <w:jc w:val="center"/>
            </w:pPr>
            <w:r w:rsidRPr="00C14D46">
              <w:t>50 000</w:t>
            </w:r>
          </w:p>
        </w:tc>
      </w:tr>
      <w:tr w:rsidR="00C14D46" w:rsidRPr="004C7005" w14:paraId="10F9A4AB" w14:textId="77777777" w:rsidTr="000813E8">
        <w:tc>
          <w:tcPr>
            <w:tcW w:w="0" w:type="auto"/>
          </w:tcPr>
          <w:p w14:paraId="3A885817" w14:textId="64F270A5" w:rsidR="00C14D46" w:rsidRPr="00C14D46" w:rsidRDefault="00C14D46" w:rsidP="00985072">
            <w:pPr>
              <w:spacing w:line="276" w:lineRule="auto"/>
              <w:jc w:val="center"/>
              <w:rPr>
                <w:lang w:val="ru-RU"/>
              </w:rPr>
            </w:pPr>
            <w:r>
              <w:rPr>
                <w:lang w:val="ru-RU"/>
              </w:rPr>
              <w:t>3</w:t>
            </w:r>
          </w:p>
        </w:tc>
        <w:tc>
          <w:tcPr>
            <w:tcW w:w="4884" w:type="dxa"/>
            <w:vAlign w:val="center"/>
            <w:hideMark/>
          </w:tcPr>
          <w:p w14:paraId="558BB2F5" w14:textId="11576090" w:rsidR="00C14D46" w:rsidRPr="00C14D46" w:rsidRDefault="00C14D46" w:rsidP="00985072">
            <w:pPr>
              <w:spacing w:line="276" w:lineRule="auto"/>
            </w:pPr>
            <w:r w:rsidRPr="00C14D46">
              <w:t>Qishloq xo‘jaligi texnikalari</w:t>
            </w:r>
          </w:p>
        </w:tc>
        <w:tc>
          <w:tcPr>
            <w:tcW w:w="1417" w:type="dxa"/>
            <w:vAlign w:val="center"/>
            <w:hideMark/>
          </w:tcPr>
          <w:p w14:paraId="6B5D578A" w14:textId="38498410" w:rsidR="00C14D46" w:rsidRPr="00C14D46" w:rsidRDefault="00C14D46" w:rsidP="00985072">
            <w:pPr>
              <w:spacing w:line="276" w:lineRule="auto"/>
              <w:jc w:val="center"/>
            </w:pPr>
            <w:r w:rsidRPr="00C14D46">
              <w:t>1-3 yil</w:t>
            </w:r>
          </w:p>
        </w:tc>
        <w:tc>
          <w:tcPr>
            <w:tcW w:w="2880" w:type="dxa"/>
            <w:vAlign w:val="center"/>
            <w:hideMark/>
          </w:tcPr>
          <w:p w14:paraId="76F4309B" w14:textId="77777777" w:rsidR="00C14D46" w:rsidRPr="00C14D46" w:rsidRDefault="00C14D46" w:rsidP="00985072">
            <w:pPr>
              <w:spacing w:line="276" w:lineRule="auto"/>
              <w:jc w:val="center"/>
            </w:pPr>
            <w:r w:rsidRPr="00C14D46">
              <w:t>50 000</w:t>
            </w:r>
          </w:p>
        </w:tc>
      </w:tr>
      <w:tr w:rsidR="00C14D46" w:rsidRPr="004C7005" w14:paraId="47EDEA11" w14:textId="77777777" w:rsidTr="000813E8">
        <w:tc>
          <w:tcPr>
            <w:tcW w:w="0" w:type="auto"/>
          </w:tcPr>
          <w:p w14:paraId="21FC5BF3" w14:textId="43D85324" w:rsidR="00C14D46" w:rsidRPr="00C14D46" w:rsidRDefault="00C14D46" w:rsidP="00985072">
            <w:pPr>
              <w:spacing w:line="276" w:lineRule="auto"/>
              <w:jc w:val="center"/>
              <w:rPr>
                <w:lang w:val="ru-RU"/>
              </w:rPr>
            </w:pPr>
            <w:r>
              <w:rPr>
                <w:lang w:val="ru-RU"/>
              </w:rPr>
              <w:t>4</w:t>
            </w:r>
          </w:p>
        </w:tc>
        <w:tc>
          <w:tcPr>
            <w:tcW w:w="4884" w:type="dxa"/>
            <w:vAlign w:val="center"/>
            <w:hideMark/>
          </w:tcPr>
          <w:p w14:paraId="542EFF6C" w14:textId="60202E28" w:rsidR="00C14D46" w:rsidRPr="00C14D46" w:rsidRDefault="00C14D46" w:rsidP="00985072">
            <w:pPr>
              <w:spacing w:line="276" w:lineRule="auto"/>
            </w:pPr>
            <w:r w:rsidRPr="00C14D46">
              <w:t>Chorvachilik</w:t>
            </w:r>
          </w:p>
        </w:tc>
        <w:tc>
          <w:tcPr>
            <w:tcW w:w="1417" w:type="dxa"/>
            <w:vAlign w:val="center"/>
            <w:hideMark/>
          </w:tcPr>
          <w:p w14:paraId="2A09C121" w14:textId="26B2254A" w:rsidR="00C14D46" w:rsidRPr="00C14D46" w:rsidRDefault="00C14D46" w:rsidP="00985072">
            <w:pPr>
              <w:spacing w:line="276" w:lineRule="auto"/>
              <w:jc w:val="center"/>
            </w:pPr>
            <w:r w:rsidRPr="00C14D46">
              <w:t>1-2 yil</w:t>
            </w:r>
          </w:p>
        </w:tc>
        <w:tc>
          <w:tcPr>
            <w:tcW w:w="2880" w:type="dxa"/>
            <w:vAlign w:val="center"/>
            <w:hideMark/>
          </w:tcPr>
          <w:p w14:paraId="5342E23C" w14:textId="77777777" w:rsidR="00C14D46" w:rsidRPr="00C14D46" w:rsidRDefault="00C14D46" w:rsidP="00985072">
            <w:pPr>
              <w:spacing w:line="276" w:lineRule="auto"/>
              <w:jc w:val="center"/>
            </w:pPr>
            <w:r w:rsidRPr="00C14D46">
              <w:t>50 000</w:t>
            </w:r>
          </w:p>
        </w:tc>
      </w:tr>
      <w:tr w:rsidR="00C14D46" w:rsidRPr="004C7005" w14:paraId="463A3194" w14:textId="77777777" w:rsidTr="000813E8">
        <w:tc>
          <w:tcPr>
            <w:tcW w:w="0" w:type="auto"/>
          </w:tcPr>
          <w:p w14:paraId="2C22BCF2" w14:textId="5CFA66D1" w:rsidR="00C14D46" w:rsidRPr="00C14D46" w:rsidRDefault="00C14D46" w:rsidP="00985072">
            <w:pPr>
              <w:spacing w:line="276" w:lineRule="auto"/>
              <w:jc w:val="center"/>
              <w:rPr>
                <w:lang w:val="ru-RU"/>
              </w:rPr>
            </w:pPr>
            <w:r>
              <w:rPr>
                <w:lang w:val="ru-RU"/>
              </w:rPr>
              <w:t>5</w:t>
            </w:r>
          </w:p>
        </w:tc>
        <w:tc>
          <w:tcPr>
            <w:tcW w:w="4884" w:type="dxa"/>
            <w:vAlign w:val="center"/>
            <w:hideMark/>
          </w:tcPr>
          <w:p w14:paraId="0D3978F4" w14:textId="4D979710" w:rsidR="00C14D46" w:rsidRPr="00C14D46" w:rsidRDefault="00C14D46" w:rsidP="00985072">
            <w:pPr>
              <w:spacing w:line="276" w:lineRule="auto"/>
            </w:pPr>
            <w:r w:rsidRPr="00C14D46">
              <w:t>Parrandachilik</w:t>
            </w:r>
          </w:p>
        </w:tc>
        <w:tc>
          <w:tcPr>
            <w:tcW w:w="1417" w:type="dxa"/>
            <w:vAlign w:val="center"/>
            <w:hideMark/>
          </w:tcPr>
          <w:p w14:paraId="70E1D5E5" w14:textId="77777777" w:rsidR="00C14D46" w:rsidRPr="00C14D46" w:rsidRDefault="00C14D46" w:rsidP="00985072">
            <w:pPr>
              <w:spacing w:line="276" w:lineRule="auto"/>
              <w:jc w:val="center"/>
            </w:pPr>
            <w:r w:rsidRPr="00C14D46">
              <w:t>1 yil</w:t>
            </w:r>
          </w:p>
        </w:tc>
        <w:tc>
          <w:tcPr>
            <w:tcW w:w="2880" w:type="dxa"/>
            <w:vAlign w:val="center"/>
            <w:hideMark/>
          </w:tcPr>
          <w:p w14:paraId="22D7A74E" w14:textId="77777777" w:rsidR="00C14D46" w:rsidRPr="00C14D46" w:rsidRDefault="00C14D46" w:rsidP="00985072">
            <w:pPr>
              <w:spacing w:line="276" w:lineRule="auto"/>
              <w:jc w:val="center"/>
            </w:pPr>
            <w:r w:rsidRPr="00C14D46">
              <w:t>35 000</w:t>
            </w:r>
          </w:p>
        </w:tc>
      </w:tr>
      <w:tr w:rsidR="00C14D46" w:rsidRPr="004C7005" w14:paraId="173671BA" w14:textId="77777777" w:rsidTr="000813E8">
        <w:tc>
          <w:tcPr>
            <w:tcW w:w="0" w:type="auto"/>
          </w:tcPr>
          <w:p w14:paraId="5691C096" w14:textId="0D47387F" w:rsidR="00C14D46" w:rsidRPr="00C14D46" w:rsidRDefault="00C14D46" w:rsidP="00985072">
            <w:pPr>
              <w:spacing w:line="276" w:lineRule="auto"/>
              <w:jc w:val="center"/>
              <w:rPr>
                <w:lang w:val="ru-RU"/>
              </w:rPr>
            </w:pPr>
            <w:r>
              <w:rPr>
                <w:lang w:val="ru-RU"/>
              </w:rPr>
              <w:t>6</w:t>
            </w:r>
          </w:p>
        </w:tc>
        <w:tc>
          <w:tcPr>
            <w:tcW w:w="4884" w:type="dxa"/>
            <w:vAlign w:val="center"/>
            <w:hideMark/>
          </w:tcPr>
          <w:p w14:paraId="418CD73A" w14:textId="4B8B152E" w:rsidR="00C14D46" w:rsidRPr="00C14D46" w:rsidRDefault="00C14D46" w:rsidP="00985072">
            <w:pPr>
              <w:spacing w:line="276" w:lineRule="auto"/>
            </w:pPr>
            <w:r w:rsidRPr="00C14D46">
              <w:t>Baliqchilik</w:t>
            </w:r>
          </w:p>
        </w:tc>
        <w:tc>
          <w:tcPr>
            <w:tcW w:w="1417" w:type="dxa"/>
            <w:vAlign w:val="center"/>
            <w:hideMark/>
          </w:tcPr>
          <w:p w14:paraId="5329AB74" w14:textId="02434C8A" w:rsidR="00C14D46" w:rsidRPr="00C14D46" w:rsidRDefault="00C14D46" w:rsidP="00985072">
            <w:pPr>
              <w:spacing w:line="276" w:lineRule="auto"/>
              <w:jc w:val="center"/>
            </w:pPr>
            <w:r w:rsidRPr="00C14D46">
              <w:t>1-2 yil</w:t>
            </w:r>
          </w:p>
        </w:tc>
        <w:tc>
          <w:tcPr>
            <w:tcW w:w="2880" w:type="dxa"/>
            <w:vAlign w:val="center"/>
            <w:hideMark/>
          </w:tcPr>
          <w:p w14:paraId="00A363C0" w14:textId="77777777" w:rsidR="00C14D46" w:rsidRPr="00C14D46" w:rsidRDefault="00C14D46" w:rsidP="00985072">
            <w:pPr>
              <w:spacing w:line="276" w:lineRule="auto"/>
              <w:jc w:val="center"/>
            </w:pPr>
            <w:r w:rsidRPr="00C14D46">
              <w:t>50 000</w:t>
            </w:r>
          </w:p>
        </w:tc>
      </w:tr>
      <w:tr w:rsidR="00C14D46" w:rsidRPr="004C7005" w14:paraId="32F6959C" w14:textId="77777777" w:rsidTr="000813E8">
        <w:tc>
          <w:tcPr>
            <w:tcW w:w="0" w:type="auto"/>
          </w:tcPr>
          <w:p w14:paraId="098567D2" w14:textId="004F0814" w:rsidR="00C14D46" w:rsidRPr="00C14D46" w:rsidRDefault="00C14D46" w:rsidP="00985072">
            <w:pPr>
              <w:spacing w:line="276" w:lineRule="auto"/>
              <w:jc w:val="center"/>
              <w:rPr>
                <w:lang w:val="ru-RU"/>
              </w:rPr>
            </w:pPr>
            <w:r>
              <w:rPr>
                <w:lang w:val="ru-RU"/>
              </w:rPr>
              <w:t>7</w:t>
            </w:r>
          </w:p>
        </w:tc>
        <w:tc>
          <w:tcPr>
            <w:tcW w:w="4884" w:type="dxa"/>
            <w:vAlign w:val="center"/>
            <w:hideMark/>
          </w:tcPr>
          <w:p w14:paraId="1EB5B029" w14:textId="31B873C8" w:rsidR="00C14D46" w:rsidRPr="00C14D46" w:rsidRDefault="00C14D46" w:rsidP="00985072">
            <w:pPr>
              <w:spacing w:line="276" w:lineRule="auto"/>
            </w:pPr>
            <w:r w:rsidRPr="00C14D46">
              <w:t>Qishloq transporti</w:t>
            </w:r>
          </w:p>
        </w:tc>
        <w:tc>
          <w:tcPr>
            <w:tcW w:w="1417" w:type="dxa"/>
            <w:vAlign w:val="center"/>
            <w:hideMark/>
          </w:tcPr>
          <w:p w14:paraId="3B33CDBA" w14:textId="77777777" w:rsidR="00C14D46" w:rsidRPr="00C14D46" w:rsidRDefault="00C14D46" w:rsidP="00985072">
            <w:pPr>
              <w:spacing w:line="276" w:lineRule="auto"/>
              <w:jc w:val="center"/>
            </w:pPr>
            <w:r w:rsidRPr="00C14D46">
              <w:t>1 yil</w:t>
            </w:r>
          </w:p>
        </w:tc>
        <w:tc>
          <w:tcPr>
            <w:tcW w:w="2880" w:type="dxa"/>
            <w:vAlign w:val="center"/>
            <w:hideMark/>
          </w:tcPr>
          <w:p w14:paraId="4D683CF0" w14:textId="77777777" w:rsidR="00C14D46" w:rsidRPr="00C14D46" w:rsidRDefault="00C14D46" w:rsidP="00985072">
            <w:pPr>
              <w:spacing w:line="276" w:lineRule="auto"/>
              <w:jc w:val="center"/>
            </w:pPr>
            <w:r w:rsidRPr="00C14D46">
              <w:t>20 000</w:t>
            </w:r>
          </w:p>
        </w:tc>
      </w:tr>
      <w:tr w:rsidR="00C14D46" w:rsidRPr="004C7005" w14:paraId="310508E2" w14:textId="77777777" w:rsidTr="000813E8">
        <w:tc>
          <w:tcPr>
            <w:tcW w:w="0" w:type="auto"/>
          </w:tcPr>
          <w:p w14:paraId="58CB0A17" w14:textId="298A14E7" w:rsidR="00C14D46" w:rsidRPr="00C14D46" w:rsidRDefault="00C14D46" w:rsidP="00985072">
            <w:pPr>
              <w:spacing w:line="276" w:lineRule="auto"/>
              <w:jc w:val="center"/>
              <w:rPr>
                <w:lang w:val="ru-RU"/>
              </w:rPr>
            </w:pPr>
            <w:r>
              <w:rPr>
                <w:lang w:val="ru-RU"/>
              </w:rPr>
              <w:t>8</w:t>
            </w:r>
          </w:p>
        </w:tc>
        <w:tc>
          <w:tcPr>
            <w:tcW w:w="4884" w:type="dxa"/>
            <w:vAlign w:val="center"/>
            <w:hideMark/>
          </w:tcPr>
          <w:p w14:paraId="38D65405" w14:textId="0C3E92FB" w:rsidR="00C14D46" w:rsidRPr="00C14D46" w:rsidRDefault="00C14D46" w:rsidP="00985072">
            <w:pPr>
              <w:spacing w:line="276" w:lineRule="auto"/>
            </w:pPr>
            <w:r w:rsidRPr="00C14D46">
              <w:t>Qishloq uy-joylari</w:t>
            </w:r>
          </w:p>
        </w:tc>
        <w:tc>
          <w:tcPr>
            <w:tcW w:w="1417" w:type="dxa"/>
            <w:vAlign w:val="center"/>
            <w:hideMark/>
          </w:tcPr>
          <w:p w14:paraId="11620F33" w14:textId="13C864EB" w:rsidR="00C14D46" w:rsidRPr="00C14D46" w:rsidRDefault="00C14D46" w:rsidP="00985072">
            <w:pPr>
              <w:spacing w:line="276" w:lineRule="auto"/>
              <w:jc w:val="center"/>
            </w:pPr>
            <w:r w:rsidRPr="00C14D46">
              <w:t>1-5 yil</w:t>
            </w:r>
          </w:p>
        </w:tc>
        <w:tc>
          <w:tcPr>
            <w:tcW w:w="2880" w:type="dxa"/>
            <w:vAlign w:val="center"/>
            <w:hideMark/>
          </w:tcPr>
          <w:p w14:paraId="79EDC0A9" w14:textId="77777777" w:rsidR="00C14D46" w:rsidRPr="00C14D46" w:rsidRDefault="00C14D46" w:rsidP="00985072">
            <w:pPr>
              <w:spacing w:line="276" w:lineRule="auto"/>
              <w:jc w:val="center"/>
            </w:pPr>
            <w:r w:rsidRPr="00C14D46">
              <w:t>50 000</w:t>
            </w:r>
          </w:p>
        </w:tc>
      </w:tr>
      <w:tr w:rsidR="00C14D46" w:rsidRPr="004C7005" w14:paraId="14238FD8" w14:textId="77777777" w:rsidTr="000813E8">
        <w:tc>
          <w:tcPr>
            <w:tcW w:w="0" w:type="auto"/>
          </w:tcPr>
          <w:p w14:paraId="6F28E4EE" w14:textId="3150B517" w:rsidR="00C14D46" w:rsidRPr="00C14D46" w:rsidRDefault="00C14D46" w:rsidP="00985072">
            <w:pPr>
              <w:spacing w:line="276" w:lineRule="auto"/>
              <w:jc w:val="center"/>
              <w:rPr>
                <w:lang w:val="ru-RU"/>
              </w:rPr>
            </w:pPr>
            <w:r>
              <w:rPr>
                <w:lang w:val="ru-RU"/>
              </w:rPr>
              <w:t>9</w:t>
            </w:r>
          </w:p>
        </w:tc>
        <w:tc>
          <w:tcPr>
            <w:tcW w:w="4884" w:type="dxa"/>
            <w:vAlign w:val="center"/>
            <w:hideMark/>
          </w:tcPr>
          <w:p w14:paraId="293298C0" w14:textId="57995A0F" w:rsidR="00C14D46" w:rsidRPr="00C14D46" w:rsidRDefault="00C14D46" w:rsidP="00985072">
            <w:pPr>
              <w:spacing w:line="276" w:lineRule="auto"/>
            </w:pPr>
            <w:r w:rsidRPr="00C14D46">
              <w:t>Qishloq xo‘jaligidan tashqari faoliyatlar</w:t>
            </w:r>
          </w:p>
        </w:tc>
        <w:tc>
          <w:tcPr>
            <w:tcW w:w="1417" w:type="dxa"/>
            <w:vAlign w:val="center"/>
            <w:hideMark/>
          </w:tcPr>
          <w:p w14:paraId="151ABEA4" w14:textId="77777777" w:rsidR="00C14D46" w:rsidRPr="00C14D46" w:rsidRDefault="00C14D46" w:rsidP="00985072">
            <w:pPr>
              <w:spacing w:line="276" w:lineRule="auto"/>
              <w:jc w:val="center"/>
            </w:pPr>
            <w:r w:rsidRPr="00C14D46">
              <w:t>1 yil</w:t>
            </w:r>
          </w:p>
        </w:tc>
        <w:tc>
          <w:tcPr>
            <w:tcW w:w="2880" w:type="dxa"/>
            <w:vAlign w:val="center"/>
            <w:hideMark/>
          </w:tcPr>
          <w:p w14:paraId="3E105898" w14:textId="77777777" w:rsidR="00C14D46" w:rsidRPr="00C14D46" w:rsidRDefault="00C14D46" w:rsidP="00985072">
            <w:pPr>
              <w:spacing w:line="276" w:lineRule="auto"/>
              <w:jc w:val="center"/>
            </w:pPr>
            <w:r w:rsidRPr="00C14D46">
              <w:t>50 000</w:t>
            </w:r>
          </w:p>
        </w:tc>
      </w:tr>
    </w:tbl>
    <w:p w14:paraId="37760103" w14:textId="77777777" w:rsidR="00985072" w:rsidRDefault="00985072" w:rsidP="00985072">
      <w:pPr>
        <w:tabs>
          <w:tab w:val="left" w:pos="1134"/>
        </w:tabs>
        <w:spacing w:after="0" w:line="276" w:lineRule="auto"/>
        <w:ind w:firstLine="709"/>
        <w:jc w:val="both"/>
      </w:pPr>
    </w:p>
    <w:p w14:paraId="6F23EC19" w14:textId="1582013B" w:rsidR="00162CB1" w:rsidRPr="00C14D46" w:rsidRDefault="00162CB1" w:rsidP="00985072">
      <w:pPr>
        <w:tabs>
          <w:tab w:val="left" w:pos="1134"/>
        </w:tabs>
        <w:spacing w:after="0" w:line="276" w:lineRule="auto"/>
        <w:ind w:firstLine="709"/>
        <w:jc w:val="both"/>
      </w:pPr>
      <w:r w:rsidRPr="00C14D46">
        <w:t xml:space="preserve">RDS dasturida moliyalashtirish asosan qishloq xo‘jaligi va chorvachilikka yo‘naltirilgan bo‘lib, mijozlarning daromad manbalarini kengaytirishga xizmat qiladi. Shuningdek, shariatga mos moliyaviy </w:t>
      </w:r>
      <w:r w:rsidR="003319E1" w:rsidRPr="00C14D46">
        <w:t>instrument</w:t>
      </w:r>
      <w:r w:rsidRPr="00C14D46">
        <w:t>lar qo‘llanilib, qayta to‘lash intizomini rag‘batlantirish mexanizmlari ham ishlab chiqilgan.</w:t>
      </w:r>
    </w:p>
    <w:p w14:paraId="502567F4" w14:textId="799CA91D" w:rsidR="00162CB1" w:rsidRPr="00C14D46" w:rsidRDefault="00162CB1" w:rsidP="00985072">
      <w:pPr>
        <w:tabs>
          <w:tab w:val="left" w:pos="1134"/>
        </w:tabs>
        <w:spacing w:after="0" w:line="276" w:lineRule="auto"/>
        <w:ind w:firstLine="709"/>
        <w:jc w:val="both"/>
      </w:pPr>
      <w:r w:rsidRPr="00C14D46">
        <w:t xml:space="preserve">Moliyalashtirishning boshqa usuli – mushoraka hisoblanadi. Bu usulda </w:t>
      </w:r>
      <w:r w:rsidR="00D8211E">
        <w:t>IBBPLC</w:t>
      </w:r>
      <w:r w:rsidRPr="00C14D46">
        <w:t xml:space="preserve"> banki va mikromoliya mijozi ma’lum bir ishni amalga oshirishda sherik bo‘ladilar. Har ikki tomon ham kapital kiritadi va foyda yoki zarar yuzaga kelganda, u dastlab kelishilgan ulush asosida taqsimlanadi.</w:t>
      </w:r>
    </w:p>
    <w:p w14:paraId="4611D2A2" w14:textId="3D7A225C" w:rsidR="00162CB1" w:rsidRPr="00C14D46" w:rsidRDefault="00162CB1" w:rsidP="00985072">
      <w:pPr>
        <w:tabs>
          <w:tab w:val="left" w:pos="1134"/>
        </w:tabs>
        <w:spacing w:after="0" w:line="276" w:lineRule="auto"/>
        <w:ind w:firstLine="709"/>
        <w:jc w:val="both"/>
      </w:pPr>
      <w:r w:rsidRPr="00C14D46">
        <w:t xml:space="preserve">RDS dasturida muhim jihatlardan yana biri – qaytarish va moliyalashtirish jarayonlarida qanday hujjatlar talab qilinishidir. Ko‘plab boshqa mikromoliya institutlarida bo‘lgani kabi, dastur guruh kafolatiga asoslanadi. Guruh a’zolari bir-birlari uchun shaxsiy kafillik beradilar va o‘zaro qarzlarni qaytarish intizomini nazorat </w:t>
      </w:r>
      <w:r w:rsidRPr="00C14D46">
        <w:lastRenderedPageBreak/>
        <w:t xml:space="preserve">qiladilar. </w:t>
      </w:r>
      <w:r w:rsidR="00D8211E">
        <w:t>IBBPLC</w:t>
      </w:r>
      <w:r w:rsidRPr="00C14D46">
        <w:t>ning ijtimoiy farovonlik maqsadlariga muvofiq, odatda a’zolardan qo‘shimcha garov talab qilinmaydi. Shu sababli a’zo tanlashda aniq va qat’iy tartib qo‘llanadi, to‘g‘ri odamlarning guruhga kiritilishi ta’minlanadi. A‘zolardan mijoz shartnomasi, guruh kafolat blankasi va boshqa zarur hujjatlar olinadi.</w:t>
      </w:r>
    </w:p>
    <w:p w14:paraId="34CA6645" w14:textId="1F3EDF67" w:rsidR="00162CB1" w:rsidRPr="00C14D46" w:rsidRDefault="00162CB1" w:rsidP="00985072">
      <w:pPr>
        <w:tabs>
          <w:tab w:val="left" w:pos="1134"/>
        </w:tabs>
        <w:spacing w:after="0" w:line="276" w:lineRule="auto"/>
        <w:ind w:firstLine="709"/>
        <w:jc w:val="both"/>
      </w:pPr>
      <w:r w:rsidRPr="00C14D46">
        <w:t>Qarzlarning to‘liq qaytarilishini ta’minlash uchun filial xodimlari juda yaqin monitoring olib boradilar. Hududiy mas’ullar tez-tez mijozlar</w:t>
      </w:r>
      <w:r w:rsidR="003319E1" w:rsidRPr="00C14D46">
        <w:t xml:space="preserve"> bilan ushrashib</w:t>
      </w:r>
      <w:r w:rsidRPr="00C14D46">
        <w:t>, ularning holati haqida ma’lumot yig‘adilar. Har bir hududiy mas’ul zimmasiga 400 nafar mijoz biriktiriladi va ular loyiha rahbari tomonidan nazorat qilinadi. Agar bitta filialda o‘ndan ortiq hududiy mas’ul ishlasa, qo‘shimcha yordamchi loyiha rahbari tayinlanadi. Filiallardan yuqorida esa hududiy boshqarmalar mavjud bo‘lib, ular yiliga ikki marta filiallarga tashrif buyuradilar. Shuningdek, bosh ofisdan vakillar ham yiliga bir marta filiallarni tekshiradilar. Barcha filiallarga oid haftalik, oylik, choraklik va yillik moliyaviy hisobotlar tayyorlanib, tartibga soluvchi</w:t>
      </w:r>
      <w:r w:rsidR="003319E1" w:rsidRPr="00C14D46">
        <w:t xml:space="preserve"> </w:t>
      </w:r>
      <w:r w:rsidRPr="00C14D46">
        <w:t>/</w:t>
      </w:r>
      <w:r w:rsidR="003319E1" w:rsidRPr="00C14D46">
        <w:t xml:space="preserve"> </w:t>
      </w:r>
      <w:r w:rsidRPr="00C14D46">
        <w:t>davlat nazorat idorasiga yuboriladi.</w:t>
      </w:r>
    </w:p>
    <w:p w14:paraId="53C2419A" w14:textId="4DE569AA" w:rsidR="00162CB1" w:rsidRPr="00C14D46" w:rsidRDefault="00162CB1" w:rsidP="00985072">
      <w:pPr>
        <w:tabs>
          <w:tab w:val="left" w:pos="1134"/>
        </w:tabs>
        <w:spacing w:after="0" w:line="276" w:lineRule="auto"/>
        <w:ind w:firstLine="709"/>
        <w:jc w:val="both"/>
      </w:pPr>
      <w:r w:rsidRPr="00C14D46">
        <w:t>RDS dasturida shuningdek, majburiy jamg‘arma va Markaziy jamg‘arma fondi mavjud. Mikromoliyaning maqsadlaridan biri – past daromadli aholiga jamg‘arma qilish odatini singdirishdir. Shu bois a‘zolardan haftasiga ma’lum miqdorda majburiy jamg‘arma to‘lash talab qilinadi. Dastur doirasida ikki turdagi jamg‘arma hisobi mavjud</w:t>
      </w:r>
      <w:r w:rsidR="00185793">
        <w:rPr>
          <w:rStyle w:val="af0"/>
        </w:rPr>
        <w:footnoteReference w:id="24"/>
      </w:r>
      <w:r w:rsidRPr="00C14D46">
        <w:t>:</w:t>
      </w:r>
    </w:p>
    <w:p w14:paraId="5E5B974C" w14:textId="77777777" w:rsidR="00162CB1" w:rsidRPr="00C14D46" w:rsidRDefault="00162CB1" w:rsidP="00985072">
      <w:pPr>
        <w:numPr>
          <w:ilvl w:val="0"/>
          <w:numId w:val="2"/>
        </w:numPr>
        <w:tabs>
          <w:tab w:val="left" w:pos="1134"/>
        </w:tabs>
        <w:spacing w:after="0" w:line="276" w:lineRule="auto"/>
        <w:ind w:left="0" w:firstLine="709"/>
        <w:jc w:val="both"/>
      </w:pPr>
      <w:r w:rsidRPr="00C14D46">
        <w:t>Mudaraba Savings Account (MSA-RDS): Guruh faoliyati boshlanganda barcha a’zolar nomiga ochilishi shart bo‘lgan jamg‘arma hisob raqami. Har hafta kamida 20 taka shu hisobga qo‘yilishi kerak.</w:t>
      </w:r>
    </w:p>
    <w:p w14:paraId="7AC81D17" w14:textId="19A54CDA" w:rsidR="00162CB1" w:rsidRPr="00C14D46" w:rsidRDefault="00162CB1" w:rsidP="00985072">
      <w:pPr>
        <w:numPr>
          <w:ilvl w:val="0"/>
          <w:numId w:val="2"/>
        </w:numPr>
        <w:tabs>
          <w:tab w:val="left" w:pos="1134"/>
        </w:tabs>
        <w:spacing w:after="0" w:line="276" w:lineRule="auto"/>
        <w:ind w:left="0" w:firstLine="709"/>
        <w:jc w:val="both"/>
      </w:pPr>
      <w:r w:rsidRPr="00C14D46">
        <w:t>Mudaraba Special Savings Account (MSSA-RDS): Ixtiyoriy jamg‘arma hisob raqami bo‘lib, a’zolar istasa oyiga kamida 100 taka qo‘yishi mumkin. Bu hisob majburiy emas. Mud</w:t>
      </w:r>
      <w:r w:rsidR="004C7005" w:rsidRPr="00C14D46">
        <w:t>o</w:t>
      </w:r>
      <w:r w:rsidRPr="00C14D46">
        <w:t xml:space="preserve">raba </w:t>
      </w:r>
      <w:r w:rsidR="004C7005" w:rsidRPr="00C14D46">
        <w:t>instrument</w:t>
      </w:r>
      <w:r w:rsidRPr="00C14D46">
        <w:t xml:space="preserve">iga asoslanganligi bois, foyda yoki zarar natijalari ularga </w:t>
      </w:r>
      <w:r w:rsidR="004C7005" w:rsidRPr="00C14D46">
        <w:t>ta’sir qiladi</w:t>
      </w:r>
      <w:r w:rsidRPr="00C14D46">
        <w:t>.</w:t>
      </w:r>
    </w:p>
    <w:p w14:paraId="6A10FD6E" w14:textId="77777777" w:rsidR="00162CB1" w:rsidRPr="00C14D46" w:rsidRDefault="00162CB1" w:rsidP="00985072">
      <w:pPr>
        <w:tabs>
          <w:tab w:val="left" w:pos="1134"/>
        </w:tabs>
        <w:spacing w:after="0" w:line="276" w:lineRule="auto"/>
        <w:ind w:firstLine="709"/>
        <w:jc w:val="both"/>
      </w:pPr>
      <w:r w:rsidRPr="00C14D46">
        <w:t>Bundan tashqari, har bir a’zo haftasiga 5 takani Markaziy fondga qo‘shishi shart. Ushbu fond tegishli markaz nomiga ochilgan MSA hisobida saqlanadi. Fond har haftalik yig‘ilishlarda qabul qilingan qarorlarga muvofiq, guruh a’zolarining farovonligi uchun qarzi hasan sifatida ishlatiladi. Fondni Markaz rahbari va uning yordamchisi birgalikda boshqaradilar.</w:t>
      </w:r>
    </w:p>
    <w:p w14:paraId="28D74B64" w14:textId="6FC0D274" w:rsidR="00162CB1" w:rsidRPr="00C14D46" w:rsidRDefault="00162CB1" w:rsidP="00985072">
      <w:pPr>
        <w:tabs>
          <w:tab w:val="left" w:pos="1134"/>
        </w:tabs>
        <w:spacing w:after="0" w:line="276" w:lineRule="auto"/>
        <w:ind w:firstLine="709"/>
        <w:jc w:val="both"/>
      </w:pPr>
      <w:r w:rsidRPr="00C14D46">
        <w:t>RDS dasturida moliyalashtirishning asosiy shakllari – bay’ mu’ajjal (mur</w:t>
      </w:r>
      <w:r w:rsidR="004C7005" w:rsidRPr="00C14D46">
        <w:t>o</w:t>
      </w:r>
      <w:r w:rsidRPr="00C14D46">
        <w:t xml:space="preserve">baha </w:t>
      </w:r>
      <w:r w:rsidR="00590E7F" w:rsidRPr="00C14D46">
        <w:t>asosi</w:t>
      </w:r>
      <w:r w:rsidRPr="00C14D46">
        <w:t xml:space="preserve">dagi) va mushoraka (sheriklik asosidagi). Bunga qo‘shimcha ravishda, dastur </w:t>
      </w:r>
      <w:r w:rsidRPr="00C14D46">
        <w:lastRenderedPageBreak/>
        <w:t>majburiy va ixtiyoriy jamg‘armalar tizimini joriy etib, kambag‘al aholida jamg‘arma madaniyatini shakllantirishga katta e’tibor qaratadi.</w:t>
      </w:r>
    </w:p>
    <w:p w14:paraId="0A5AB277" w14:textId="39C1180F" w:rsidR="00162CB1" w:rsidRPr="00C14D46" w:rsidRDefault="00162CB1" w:rsidP="00985072">
      <w:pPr>
        <w:tabs>
          <w:tab w:val="left" w:pos="1134"/>
        </w:tabs>
        <w:spacing w:after="0" w:line="276" w:lineRule="auto"/>
        <w:ind w:firstLine="709"/>
        <w:jc w:val="both"/>
      </w:pPr>
      <w:r w:rsidRPr="00C14D46">
        <w:rPr>
          <w:i/>
          <w:iCs/>
        </w:rPr>
        <w:t>Tizimning ishlash tartibi</w:t>
      </w:r>
      <w:r w:rsidR="00C14D46" w:rsidRPr="00C14D46">
        <w:rPr>
          <w:i/>
          <w:iCs/>
        </w:rPr>
        <w:t xml:space="preserve">. </w:t>
      </w:r>
      <w:r w:rsidRPr="00C14D46">
        <w:t>RDS dasturida moliyalashtirish jarayoni bosqichma-bosqich quyidagicha amalga oshiriladi</w:t>
      </w:r>
      <w:r w:rsidR="00185793">
        <w:rPr>
          <w:rStyle w:val="af0"/>
        </w:rPr>
        <w:footnoteReference w:id="25"/>
      </w:r>
      <w:r w:rsidRPr="00C14D46">
        <w:t>:</w:t>
      </w:r>
    </w:p>
    <w:p w14:paraId="547D3FAB" w14:textId="77777777" w:rsidR="00162CB1" w:rsidRPr="00C14D46" w:rsidRDefault="00162CB1" w:rsidP="00985072">
      <w:pPr>
        <w:numPr>
          <w:ilvl w:val="0"/>
          <w:numId w:val="3"/>
        </w:numPr>
        <w:tabs>
          <w:tab w:val="left" w:pos="1134"/>
        </w:tabs>
        <w:spacing w:after="0" w:line="276" w:lineRule="auto"/>
        <w:ind w:left="0" w:firstLine="709"/>
        <w:jc w:val="both"/>
      </w:pPr>
      <w:r w:rsidRPr="00C14D46">
        <w:t>Filial joylashgan hududning 10 km radiusida mos qishloqlar tanlab olinadi,</w:t>
      </w:r>
    </w:p>
    <w:p w14:paraId="6400650D" w14:textId="23DD08AB" w:rsidR="00162CB1" w:rsidRPr="00C14D46" w:rsidRDefault="00162CB1" w:rsidP="00985072">
      <w:pPr>
        <w:numPr>
          <w:ilvl w:val="0"/>
          <w:numId w:val="3"/>
        </w:numPr>
        <w:tabs>
          <w:tab w:val="left" w:pos="1134"/>
        </w:tabs>
        <w:spacing w:after="0" w:line="276" w:lineRule="auto"/>
        <w:ind w:left="0" w:firstLine="709"/>
        <w:jc w:val="both"/>
      </w:pPr>
      <w:r w:rsidRPr="00C14D46">
        <w:t>Maqsadli guruh va faoliyat turini aniqlash uchun texnik-iqtisodiy asoslash ishlari olib boriladi</w:t>
      </w:r>
      <w:r w:rsidR="00BD3478">
        <w:t>;</w:t>
      </w:r>
    </w:p>
    <w:p w14:paraId="7E318D12" w14:textId="004AF56F" w:rsidR="00162CB1" w:rsidRPr="00C14D46" w:rsidRDefault="00162CB1" w:rsidP="00985072">
      <w:pPr>
        <w:numPr>
          <w:ilvl w:val="0"/>
          <w:numId w:val="3"/>
        </w:numPr>
        <w:tabs>
          <w:tab w:val="left" w:pos="1134"/>
        </w:tabs>
        <w:spacing w:after="0" w:line="276" w:lineRule="auto"/>
        <w:ind w:left="0" w:firstLine="709"/>
        <w:jc w:val="both"/>
      </w:pPr>
      <w:r w:rsidRPr="00C14D46">
        <w:t>Afzal ko‘rilgan holda bir xil ish yoki kasb bilan shug‘ullanuvchi 5 kishilik guruhlar tashkil etiladi</w:t>
      </w:r>
      <w:r w:rsidR="00BD3478">
        <w:t>;</w:t>
      </w:r>
    </w:p>
    <w:p w14:paraId="4DFDD437" w14:textId="2E464FF7" w:rsidR="00162CB1" w:rsidRPr="00C14D46" w:rsidRDefault="00162CB1" w:rsidP="00985072">
      <w:pPr>
        <w:numPr>
          <w:ilvl w:val="0"/>
          <w:numId w:val="3"/>
        </w:numPr>
        <w:tabs>
          <w:tab w:val="left" w:pos="1134"/>
        </w:tabs>
        <w:spacing w:after="0" w:line="276" w:lineRule="auto"/>
        <w:ind w:left="0" w:firstLine="709"/>
        <w:jc w:val="both"/>
      </w:pPr>
      <w:r w:rsidRPr="00C14D46">
        <w:t>Guruh faoliyatlarini muvofiqlashtirish uchun bir guruh rahbari va uning yordamchisi saylanadi. So‘ngra filial boshlig‘i guruhni ziyorat qilib, jarayon haqida tushuntirish beradi va ularga hisob daftarchalarini topshiradi</w:t>
      </w:r>
      <w:r w:rsidR="00BD3478">
        <w:t>;</w:t>
      </w:r>
    </w:p>
    <w:p w14:paraId="1DC31262" w14:textId="0D6A92B2" w:rsidR="00162CB1" w:rsidRPr="00C14D46" w:rsidRDefault="00162CB1" w:rsidP="00985072">
      <w:pPr>
        <w:numPr>
          <w:ilvl w:val="0"/>
          <w:numId w:val="3"/>
        </w:numPr>
        <w:tabs>
          <w:tab w:val="left" w:pos="1134"/>
        </w:tabs>
        <w:spacing w:after="0" w:line="276" w:lineRule="auto"/>
        <w:ind w:left="0" w:firstLine="709"/>
        <w:jc w:val="both"/>
      </w:pPr>
      <w:r w:rsidRPr="00C14D46">
        <w:t>Kamida ikki, ko‘pi bilan sakkiz guruh birgalikda markazni tashkil etadi. Guruh rahbarlari o‘zlari ichidan markaz rahbari va yordamchisini saylaydi. Ular markaz faoliyatlarini muvofiqlashtirish uchun mas’ul bo‘ladilar</w:t>
      </w:r>
      <w:r w:rsidR="00BD3478">
        <w:t>;</w:t>
      </w:r>
    </w:p>
    <w:p w14:paraId="5FA4E941" w14:textId="742DE339" w:rsidR="00162CB1" w:rsidRPr="00C14D46" w:rsidRDefault="00162CB1" w:rsidP="00985072">
      <w:pPr>
        <w:numPr>
          <w:ilvl w:val="0"/>
          <w:numId w:val="3"/>
        </w:numPr>
        <w:tabs>
          <w:tab w:val="left" w:pos="1134"/>
        </w:tabs>
        <w:spacing w:after="0" w:line="276" w:lineRule="auto"/>
        <w:ind w:left="0" w:firstLine="709"/>
        <w:jc w:val="both"/>
      </w:pPr>
      <w:r w:rsidRPr="00C14D46">
        <w:t>Markaz haftalik yig‘ilishlarni belgilangan joy, vaqt va soatda o‘tkazadi. Unda barcha guruh a’zolari qatnashib, ishtirokini qaror daftarida imzo bilan tasdiqlaydi. Dasturni davom ettirish uchun ushbu yig‘ilishlarda qatnashish majburiydir</w:t>
      </w:r>
      <w:r w:rsidR="00BD3478">
        <w:t>;</w:t>
      </w:r>
    </w:p>
    <w:p w14:paraId="54955088" w14:textId="77777777" w:rsidR="00162CB1" w:rsidRPr="00C14D46" w:rsidRDefault="00162CB1" w:rsidP="00985072">
      <w:pPr>
        <w:numPr>
          <w:ilvl w:val="0"/>
          <w:numId w:val="3"/>
        </w:numPr>
        <w:tabs>
          <w:tab w:val="left" w:pos="1134"/>
        </w:tabs>
        <w:spacing w:after="0" w:line="276" w:lineRule="auto"/>
        <w:ind w:left="0" w:firstLine="709"/>
        <w:jc w:val="both"/>
      </w:pPr>
      <w:r w:rsidRPr="00C14D46">
        <w:t>Markaz yig‘ilishlariga hududiy mas’ullar raislik qiladi. Odatda yig‘ilish kun tartibi quyidagilardan iborat bo‘ladi:</w:t>
      </w:r>
    </w:p>
    <w:p w14:paraId="7F3F5D26" w14:textId="18540DE2" w:rsidR="00162CB1" w:rsidRPr="00C14D46" w:rsidRDefault="00162CB1" w:rsidP="00985072">
      <w:pPr>
        <w:numPr>
          <w:ilvl w:val="1"/>
          <w:numId w:val="3"/>
        </w:numPr>
        <w:tabs>
          <w:tab w:val="left" w:pos="1134"/>
        </w:tabs>
        <w:spacing w:after="0" w:line="276" w:lineRule="auto"/>
        <w:ind w:left="0" w:firstLine="709"/>
        <w:jc w:val="both"/>
      </w:pPr>
      <w:r w:rsidRPr="00C14D46">
        <w:t>Islom, axloqiy qadriyatlar, ijtimoiy huquq va majburiyatlarga oid muhokamalar</w:t>
      </w:r>
      <w:r w:rsidR="00BD3478">
        <w:t>;</w:t>
      </w:r>
    </w:p>
    <w:p w14:paraId="3CE582A6" w14:textId="3F8F7CE9" w:rsidR="00162CB1" w:rsidRPr="00C14D46" w:rsidRDefault="00162CB1" w:rsidP="00985072">
      <w:pPr>
        <w:numPr>
          <w:ilvl w:val="1"/>
          <w:numId w:val="3"/>
        </w:numPr>
        <w:tabs>
          <w:tab w:val="left" w:pos="1134"/>
        </w:tabs>
        <w:spacing w:after="0" w:line="276" w:lineRule="auto"/>
        <w:ind w:left="0" w:firstLine="709"/>
        <w:jc w:val="both"/>
      </w:pPr>
      <w:r w:rsidRPr="00C14D46">
        <w:t>Moliyaviy majburiyatlarning yig‘ilishi: kredit to‘lovlari, majburiy jamg‘armalar va markaziy fondga badallar</w:t>
      </w:r>
      <w:r w:rsidR="00BD3478">
        <w:t>;</w:t>
      </w:r>
    </w:p>
    <w:p w14:paraId="4BD20048" w14:textId="77777777" w:rsidR="00162CB1" w:rsidRPr="00C14D46" w:rsidRDefault="00162CB1" w:rsidP="00985072">
      <w:pPr>
        <w:numPr>
          <w:ilvl w:val="1"/>
          <w:numId w:val="3"/>
        </w:numPr>
        <w:tabs>
          <w:tab w:val="left" w:pos="1134"/>
        </w:tabs>
        <w:spacing w:after="0" w:line="276" w:lineRule="auto"/>
        <w:ind w:left="0" w:firstLine="709"/>
        <w:jc w:val="both"/>
      </w:pPr>
      <w:r w:rsidRPr="00C14D46">
        <w:t>Investitsiya takliflarini ko‘rib chiqish va tasdiqlash.</w:t>
      </w:r>
    </w:p>
    <w:p w14:paraId="5261AC29" w14:textId="1116FFF8" w:rsidR="00162CB1" w:rsidRPr="00C14D46" w:rsidRDefault="00162CB1" w:rsidP="00985072">
      <w:pPr>
        <w:tabs>
          <w:tab w:val="left" w:pos="1134"/>
        </w:tabs>
        <w:spacing w:after="0" w:line="276" w:lineRule="auto"/>
        <w:ind w:firstLine="709"/>
        <w:jc w:val="both"/>
      </w:pPr>
      <w:r w:rsidRPr="00C14D46">
        <w:t>Moliyalashtirishni olish huquqiga ega bo‘ladigan mijozlar markaz yig‘ilishida tanlab olinadi va ariza blankalari shu yerda topshiriladi. Arizasi qabul qilingan mijozlar ro‘</w:t>
      </w:r>
      <w:r w:rsidR="00C14D46" w:rsidRPr="00C14D46">
        <w:t>yxati guruh rahbari, markaz rahbari, hududiy mas’ul va loyiha rahbari tomonidan imzolanib, filial boshlig‘iga taqdim qilinadi</w:t>
      </w:r>
      <w:r w:rsidR="00185793">
        <w:rPr>
          <w:rStyle w:val="af0"/>
        </w:rPr>
        <w:footnoteReference w:id="26"/>
      </w:r>
      <w:r w:rsidR="00C14D46" w:rsidRPr="00C14D46">
        <w:t>.</w:t>
      </w:r>
    </w:p>
    <w:p w14:paraId="08169137" w14:textId="77777777" w:rsidR="00162CB1" w:rsidRPr="00C14D46" w:rsidRDefault="00162CB1" w:rsidP="00985072">
      <w:pPr>
        <w:tabs>
          <w:tab w:val="left" w:pos="1134"/>
        </w:tabs>
        <w:spacing w:after="0" w:line="276" w:lineRule="auto"/>
        <w:ind w:firstLine="709"/>
        <w:jc w:val="both"/>
      </w:pPr>
      <w:r w:rsidRPr="00C14D46">
        <w:t>Har bir guruh a’zosi qolgan a’zolarning olgan moliyaviy mablag‘lari uchun kafillik qilishi kerak. Agar bir a’zo majburiyatini bajarmasa, guruhning boshqa a’zolari uni majbur qilishadi, aks holda zarar butun guruh tomonidan qoplanadi.</w:t>
      </w:r>
    </w:p>
    <w:p w14:paraId="64CDA92B" w14:textId="5E542822" w:rsidR="00162CB1" w:rsidRDefault="00162CB1" w:rsidP="00985072">
      <w:pPr>
        <w:tabs>
          <w:tab w:val="left" w:pos="1134"/>
        </w:tabs>
        <w:spacing w:after="0" w:line="276" w:lineRule="auto"/>
        <w:ind w:firstLine="709"/>
        <w:jc w:val="both"/>
      </w:pPr>
      <w:r w:rsidRPr="00C14D46">
        <w:lastRenderedPageBreak/>
        <w:t>Mijozlar dastlab eng ko‘pi bilan 10</w:t>
      </w:r>
      <w:r w:rsidR="00844365">
        <w:t> </w:t>
      </w:r>
      <w:r w:rsidRPr="00C14D46">
        <w:t xml:space="preserve">000 BDT (taxminan </w:t>
      </w:r>
      <w:r w:rsidR="00844365">
        <w:t>82</w:t>
      </w:r>
      <w:r w:rsidRPr="00C14D46">
        <w:t xml:space="preserve"> AQSh dollari) moliyalashtirish olishi mumkin. Biroq 8 haftalik faoliyat va to‘lov intizomiga qarab bu miqdor bosqichma-bosqich oshib, eng ko‘pi bilan 100</w:t>
      </w:r>
      <w:r w:rsidR="00844365">
        <w:t> </w:t>
      </w:r>
      <w:r w:rsidRPr="00C14D46">
        <w:t xml:space="preserve">000 BDT (taxminan </w:t>
      </w:r>
      <w:r w:rsidR="00844365">
        <w:t>821</w:t>
      </w:r>
      <w:r w:rsidRPr="00C14D46">
        <w:t xml:space="preserve"> AQSh dollari)ga yetishi mumkin. Moliyalashtirish miqdori </w:t>
      </w:r>
      <w:r w:rsidR="00604D80" w:rsidRPr="00604D80">
        <w:t>savdo foydasi (shariatga muvofiq foyda marjasi)</w:t>
      </w:r>
      <w:r w:rsidRPr="00C14D46">
        <w:t xml:space="preserve"> bilan birga 45 teng haftalik to‘lov asosida qaytarilishi shart.</w:t>
      </w:r>
    </w:p>
    <w:p w14:paraId="717D5DFA" w14:textId="53321D23" w:rsidR="00604D80" w:rsidRPr="00604D80" w:rsidRDefault="00604D80" w:rsidP="00985072">
      <w:pPr>
        <w:tabs>
          <w:tab w:val="left" w:pos="1134"/>
        </w:tabs>
        <w:spacing w:after="0" w:line="276" w:lineRule="auto"/>
        <w:ind w:firstLine="709"/>
        <w:jc w:val="both"/>
      </w:pPr>
      <w:r w:rsidRPr="00604D80">
        <w:t>Dastlab mijozga eng ko‘pi bilan 10</w:t>
      </w:r>
      <w:r>
        <w:t> </w:t>
      </w:r>
      <w:r w:rsidRPr="00604D80">
        <w:t>000 BDT</w:t>
      </w:r>
      <w:r>
        <w:t xml:space="preserve"> </w:t>
      </w:r>
      <w:r w:rsidRPr="00C14D46">
        <w:t xml:space="preserve">(taxminan </w:t>
      </w:r>
      <w:r>
        <w:t>82</w:t>
      </w:r>
      <w:r w:rsidRPr="00C14D46">
        <w:t xml:space="preserve"> AQSh dollari)</w:t>
      </w:r>
      <w:r w:rsidRPr="00604D80">
        <w:t xml:space="preserve"> miqdorida moliyalashtirish ajratiladi. 8 haftalik faoliyat va to‘lov intizomiga qarab limit bosqichma-bosqich oshiriladi va eng ko‘pi bilan 100</w:t>
      </w:r>
      <w:r>
        <w:t> </w:t>
      </w:r>
      <w:r w:rsidRPr="00604D80">
        <w:t>000 BDTgacha</w:t>
      </w:r>
      <w:r>
        <w:t xml:space="preserve"> (</w:t>
      </w:r>
      <w:r w:rsidRPr="00C14D46">
        <w:t xml:space="preserve">taxminan </w:t>
      </w:r>
      <w:r>
        <w:t>821</w:t>
      </w:r>
      <w:r w:rsidRPr="00C14D46">
        <w:t xml:space="preserve"> AQSh dollari</w:t>
      </w:r>
      <w:r>
        <w:t>)</w:t>
      </w:r>
      <w:r w:rsidRPr="00604D80">
        <w:t xml:space="preserve"> yetishi mumkin. Qaytarish 45 haftada teng ulushlarda amalga oshiriladi; bunda bank bilan oldindan kelishilgan savdo foydasi (shariatga muvofiq foyda marjasi) ham asosiy summa bilan birga to‘lanadi</w:t>
      </w:r>
      <w:r w:rsidR="00185793">
        <w:rPr>
          <w:rStyle w:val="af0"/>
        </w:rPr>
        <w:footnoteReference w:id="27"/>
      </w:r>
      <w:r w:rsidRPr="00604D80">
        <w:t>.</w:t>
      </w:r>
    </w:p>
    <w:p w14:paraId="40DFCDAF" w14:textId="34466F08" w:rsidR="00162CB1" w:rsidRPr="00C14D46" w:rsidRDefault="00162CB1" w:rsidP="00985072">
      <w:pPr>
        <w:tabs>
          <w:tab w:val="left" w:pos="1134"/>
        </w:tabs>
        <w:spacing w:after="0" w:line="276" w:lineRule="auto"/>
        <w:ind w:firstLine="709"/>
        <w:jc w:val="both"/>
      </w:pPr>
      <w:r w:rsidRPr="00C14D46">
        <w:t xml:space="preserve">2005-yildan boshlab esa, eng yuqori moliyalashtirish miqdoriga yetgan mijozlarning ehtiyojlarini qondirish maqsadida </w:t>
      </w:r>
      <w:r w:rsidR="00844365">
        <w:t>M</w:t>
      </w:r>
      <w:r w:rsidR="00844365" w:rsidRPr="00C14D46">
        <w:t xml:space="preserve">ikro-tadbirkorlik investitsiya dasturi </w:t>
      </w:r>
      <w:r w:rsidRPr="00C14D46">
        <w:t>joriy etilgan. Bu dastur doirasida yuqori limit 50</w:t>
      </w:r>
      <w:r w:rsidR="00457900">
        <w:t> </w:t>
      </w:r>
      <w:r w:rsidRPr="00C14D46">
        <w:t>000 BDT (</w:t>
      </w:r>
      <w:r w:rsidR="00844365">
        <w:t>411</w:t>
      </w:r>
      <w:r w:rsidRPr="00C14D46">
        <w:t xml:space="preserve"> AQSh dollari) dan 300</w:t>
      </w:r>
      <w:r w:rsidR="00457900">
        <w:t> </w:t>
      </w:r>
      <w:r w:rsidRPr="00C14D46">
        <w:t>000 BDT (</w:t>
      </w:r>
      <w:r w:rsidR="00844365">
        <w:t>2465</w:t>
      </w:r>
      <w:r w:rsidRPr="00C14D46">
        <w:t xml:space="preserve"> AQSh dollari) gacha belgilangan. Mahalliy tadbirkor va kichik biznes egalari ham ushbu dasturdan foydalanishlari mumkin. Shu orqali RDS dasturida muvaffaqiyat ko‘rsatgan kam daromadli mijozlar yanada yuqori moliyaviy segmentga o‘tishi mumkin. </w:t>
      </w:r>
      <w:r w:rsidR="00D8211E">
        <w:t>IBBPLC</w:t>
      </w:r>
      <w:r w:rsidRPr="00C14D46">
        <w:t xml:space="preserve"> nuqtayi nazaridan esa, bunday mijozlar o‘rta muddatda oddiy tijorat moliyalashtirish mijoziga aylanadi va bank uchun qo‘shimcha foyda keltira boshlaydi.</w:t>
      </w:r>
    </w:p>
    <w:p w14:paraId="64E27E1A" w14:textId="477F97C9" w:rsidR="00162CB1" w:rsidRPr="00C14D46" w:rsidRDefault="00162CB1" w:rsidP="00985072">
      <w:pPr>
        <w:tabs>
          <w:tab w:val="left" w:pos="1134"/>
        </w:tabs>
        <w:spacing w:after="0" w:line="276" w:lineRule="auto"/>
        <w:ind w:firstLine="709"/>
        <w:jc w:val="both"/>
      </w:pPr>
      <w:r w:rsidRPr="00C14D46">
        <w:t xml:space="preserve">RDS dasturidan tashqari, 2012-yilda </w:t>
      </w:r>
      <w:r w:rsidR="00D8211E">
        <w:t>IBBPLC</w:t>
      </w:r>
      <w:r w:rsidRPr="00C14D46">
        <w:t xml:space="preserve"> “</w:t>
      </w:r>
      <w:r w:rsidR="00457900" w:rsidRPr="00457900">
        <w:t>Shahar qashshoqligini kamaytirish va rivojlantirish dasturi</w:t>
      </w:r>
      <w:r w:rsidR="00457900">
        <w:t>”</w:t>
      </w:r>
      <w:r w:rsidRPr="00C14D46">
        <w:t xml:space="preserve"> (UPDS)ni yo‘lga qo‘ygan. Dastlab Dakka shahridagi Gandaria filialida boshlangan ushbu dastur quyidagi maqsadlarga qaratilgan</w:t>
      </w:r>
      <w:r w:rsidR="00185793">
        <w:rPr>
          <w:rStyle w:val="af0"/>
        </w:rPr>
        <w:footnoteReference w:id="28"/>
      </w:r>
      <w:r w:rsidRPr="00C14D46">
        <w:t>:</w:t>
      </w:r>
    </w:p>
    <w:p w14:paraId="600C88E1" w14:textId="77777777" w:rsidR="00162CB1" w:rsidRPr="00C14D46" w:rsidRDefault="00162CB1" w:rsidP="00985072">
      <w:pPr>
        <w:numPr>
          <w:ilvl w:val="0"/>
          <w:numId w:val="4"/>
        </w:numPr>
        <w:tabs>
          <w:tab w:val="left" w:pos="1134"/>
        </w:tabs>
        <w:spacing w:after="0" w:line="276" w:lineRule="auto"/>
        <w:ind w:left="0" w:firstLine="709"/>
        <w:jc w:val="both"/>
      </w:pPr>
      <w:r w:rsidRPr="00C14D46">
        <w:t>Shahar qashshoqligini daromad keltiruvchi faoliyatlarga investitsiya orqali kamaytirish,</w:t>
      </w:r>
    </w:p>
    <w:p w14:paraId="5BEC0CFB" w14:textId="6626D6FB" w:rsidR="00162CB1" w:rsidRPr="00C14D46" w:rsidRDefault="00162CB1" w:rsidP="00985072">
      <w:pPr>
        <w:numPr>
          <w:ilvl w:val="0"/>
          <w:numId w:val="4"/>
        </w:numPr>
        <w:tabs>
          <w:tab w:val="left" w:pos="1134"/>
        </w:tabs>
        <w:spacing w:after="0" w:line="276" w:lineRule="auto"/>
        <w:ind w:left="0" w:firstLine="709"/>
        <w:jc w:val="both"/>
      </w:pPr>
      <w:r w:rsidRPr="00C14D46">
        <w:t>Ayniqsa, shahar chekka hududlarida yashovchi qashshoqlar hayot sharoitlarini yaxshilash,</w:t>
      </w:r>
    </w:p>
    <w:p w14:paraId="09BAF2F2" w14:textId="77777777" w:rsidR="00162CB1" w:rsidRPr="00C14D46" w:rsidRDefault="00162CB1" w:rsidP="00985072">
      <w:pPr>
        <w:numPr>
          <w:ilvl w:val="0"/>
          <w:numId w:val="4"/>
        </w:numPr>
        <w:tabs>
          <w:tab w:val="left" w:pos="1134"/>
        </w:tabs>
        <w:spacing w:after="0" w:line="276" w:lineRule="auto"/>
        <w:ind w:left="0" w:firstLine="709"/>
        <w:jc w:val="both"/>
      </w:pPr>
      <w:r w:rsidRPr="00C14D46">
        <w:t>Shahar aholisi orasida, xususan bolalar va ayollarning sog‘liqni saqlash va ta’lim darajasini oshirish,</w:t>
      </w:r>
    </w:p>
    <w:p w14:paraId="6406E7C2" w14:textId="77777777" w:rsidR="00162CB1" w:rsidRPr="00C14D46" w:rsidRDefault="00162CB1" w:rsidP="00985072">
      <w:pPr>
        <w:numPr>
          <w:ilvl w:val="0"/>
          <w:numId w:val="4"/>
        </w:numPr>
        <w:tabs>
          <w:tab w:val="left" w:pos="1134"/>
        </w:tabs>
        <w:spacing w:after="0" w:line="276" w:lineRule="auto"/>
        <w:ind w:left="0" w:firstLine="709"/>
        <w:jc w:val="both"/>
      </w:pPr>
      <w:r w:rsidRPr="00C14D46">
        <w:t>Qashshoqlarning yashash muhitini tartibga keltirishga yordam berish,</w:t>
      </w:r>
    </w:p>
    <w:p w14:paraId="77F5E001" w14:textId="77777777" w:rsidR="00162CB1" w:rsidRPr="00C14D46" w:rsidRDefault="00162CB1" w:rsidP="00985072">
      <w:pPr>
        <w:numPr>
          <w:ilvl w:val="0"/>
          <w:numId w:val="4"/>
        </w:numPr>
        <w:tabs>
          <w:tab w:val="left" w:pos="1134"/>
        </w:tabs>
        <w:spacing w:after="0" w:line="276" w:lineRule="auto"/>
        <w:ind w:left="0" w:firstLine="709"/>
        <w:jc w:val="both"/>
      </w:pPr>
      <w:r w:rsidRPr="00C14D46">
        <w:t>Axloqiy va diniy qadriyatlarni rivojlantirish orqali jinoyat va zo‘ravonlik ko‘rsatkichlarini kamaytirish.</w:t>
      </w:r>
    </w:p>
    <w:p w14:paraId="2E9F8119" w14:textId="4C6C4DE7" w:rsidR="00162CB1" w:rsidRPr="00C14D46" w:rsidRDefault="00162CB1" w:rsidP="00985072">
      <w:pPr>
        <w:tabs>
          <w:tab w:val="left" w:pos="1134"/>
        </w:tabs>
        <w:spacing w:after="0" w:line="276" w:lineRule="auto"/>
        <w:ind w:firstLine="709"/>
        <w:jc w:val="both"/>
      </w:pPr>
      <w:r w:rsidRPr="00C14D46">
        <w:lastRenderedPageBreak/>
        <w:t>RDSning ishlash tizimi aniq bosqichlarga asoslangan bo‘lib, kichik guruhlar va markaziy tuzilmalar orqali nazorat qilinadi. Moliyalashtirish bosqichma-bosqich oshiriladi, qaytarish esa haftalik intizomli to‘lovlarga bog‘liq. Shuningdek, dastur ijtimoiy va axloqiy jihatlarga ham katta e’tibor qaratadi va 2012-yildan boshlab shahar qashshoqlarini qamrab olish uchun yangi yo‘nalish ham yo‘lga qo‘yilgan</w:t>
      </w:r>
      <w:r w:rsidR="00185793">
        <w:rPr>
          <w:rStyle w:val="af0"/>
        </w:rPr>
        <w:footnoteReference w:id="29"/>
      </w:r>
      <w:r w:rsidRPr="00C14D46">
        <w:t>.</w:t>
      </w:r>
    </w:p>
    <w:p w14:paraId="669FFE24" w14:textId="4AB9393F" w:rsidR="00457900" w:rsidRDefault="00457900" w:rsidP="00985072">
      <w:pPr>
        <w:spacing w:after="0" w:line="276" w:lineRule="auto"/>
        <w:ind w:firstLine="709"/>
        <w:jc w:val="both"/>
      </w:pPr>
      <w:r w:rsidRPr="00457900">
        <w:t>2022-yilda Islami Bank Bangladesh PLC tomonidan amalga oshirilayotgan Rural Development Scheme (RDS) dasturi o‘z faoliyatini yanada kengaytirib, mamlakat mikromoliya bozorida muhim o‘rin egalladi. Dastur doirasida faol a’zolar soni 1,6</w:t>
      </w:r>
      <w:r>
        <w:t> </w:t>
      </w:r>
      <w:r w:rsidRPr="00457900">
        <w:t>million kishiga, faol moliyalashtirilgan mijozlar esa qariyb 1 million kishiga yetdi</w:t>
      </w:r>
      <w:r w:rsidR="008A5A40">
        <w:rPr>
          <w:rStyle w:val="af0"/>
        </w:rPr>
        <w:footnoteReference w:id="30"/>
      </w:r>
      <w:r w:rsidRPr="00457900">
        <w:t>. Umumiy faol moliyalashtirish hajmi 55881 mln BDT ni tashkil etib, 2016-yilga nisbatan qariyb ikki baravar o‘sishga erishildi. Qaytarilish darajasi 99,03 foiz bo‘lib, bu ko‘rsatkich RDSning yuqori samaradorligi va mijozlarning to‘lov intizomini aks ettiradi. Shuningdek, a’zolarning jamg‘armalari 15189 mln BDT ga teng bo‘lib, dastur doirasida moliyaviy intizom va o‘zini-o‘zi mablag‘ bilan ta’minlash tamoyillarining mustahkamlanayotganidan dalolat beradi</w:t>
      </w:r>
      <w:r>
        <w:t xml:space="preserve"> (5-jadval)</w:t>
      </w:r>
      <w:r w:rsidRPr="00457900">
        <w:t>.</w:t>
      </w:r>
    </w:p>
    <w:p w14:paraId="4240FE3C" w14:textId="5CDA3923" w:rsidR="00457900" w:rsidRDefault="00457900" w:rsidP="00985072">
      <w:pPr>
        <w:spacing w:after="0" w:line="276" w:lineRule="auto"/>
        <w:ind w:firstLine="709"/>
        <w:jc w:val="right"/>
        <w:rPr>
          <w:b/>
          <w:bCs/>
        </w:rPr>
      </w:pPr>
      <w:r>
        <w:rPr>
          <w:b/>
          <w:bCs/>
        </w:rPr>
        <w:t>5</w:t>
      </w:r>
      <w:r w:rsidRPr="00457900">
        <w:rPr>
          <w:b/>
          <w:bCs/>
        </w:rPr>
        <w:t xml:space="preserve">-jadval. </w:t>
      </w:r>
    </w:p>
    <w:p w14:paraId="733BEA89" w14:textId="08105734" w:rsidR="00457900" w:rsidRPr="00457900" w:rsidRDefault="00457900" w:rsidP="00985072">
      <w:pPr>
        <w:spacing w:after="0" w:line="276" w:lineRule="auto"/>
        <w:ind w:firstLine="709"/>
        <w:jc w:val="center"/>
        <w:rPr>
          <w:b/>
          <w:bCs/>
        </w:rPr>
      </w:pPr>
      <w:r w:rsidRPr="00457900">
        <w:rPr>
          <w:b/>
          <w:bCs/>
        </w:rPr>
        <w:t>RDS dasturining asosiy ko‘rsatkichlari</w:t>
      </w:r>
      <w:r w:rsidR="008A5A40">
        <w:rPr>
          <w:rStyle w:val="af0"/>
        </w:rPr>
        <w:footnoteReference w:id="31"/>
      </w:r>
      <w:r w:rsidR="004D1C54" w:rsidRPr="00457900">
        <w:rPr>
          <w:b/>
          <w:bCs/>
        </w:rPr>
        <w:t xml:space="preserve"> </w:t>
      </w:r>
      <w:r w:rsidRPr="00457900">
        <w:rPr>
          <w:b/>
          <w:bCs/>
        </w:rPr>
        <w:t>(2022-yil)</w:t>
      </w:r>
    </w:p>
    <w:tbl>
      <w:tblPr>
        <w:tblStyle w:val="ac"/>
        <w:tblW w:w="4710" w:type="pct"/>
        <w:jc w:val="center"/>
        <w:tblLook w:val="04A0" w:firstRow="1" w:lastRow="0" w:firstColumn="1" w:lastColumn="0" w:noHBand="0" w:noVBand="1"/>
      </w:tblPr>
      <w:tblGrid>
        <w:gridCol w:w="6342"/>
        <w:gridCol w:w="2776"/>
      </w:tblGrid>
      <w:tr w:rsidR="00457900" w:rsidRPr="00457900" w14:paraId="7866F80C" w14:textId="77777777" w:rsidTr="00844365">
        <w:trPr>
          <w:jc w:val="center"/>
        </w:trPr>
        <w:tc>
          <w:tcPr>
            <w:tcW w:w="3478" w:type="pct"/>
            <w:shd w:val="clear" w:color="auto" w:fill="BDD6EE" w:themeFill="accent1" w:themeFillTint="66"/>
            <w:hideMark/>
          </w:tcPr>
          <w:p w14:paraId="5CA1784A" w14:textId="77777777" w:rsidR="00457900" w:rsidRPr="00457900" w:rsidRDefault="00457900" w:rsidP="00985072">
            <w:pPr>
              <w:spacing w:line="276" w:lineRule="auto"/>
              <w:ind w:firstLine="709"/>
              <w:jc w:val="center"/>
              <w:rPr>
                <w:b/>
                <w:bCs/>
                <w:lang w:val="ru-RU"/>
              </w:rPr>
            </w:pPr>
            <w:r w:rsidRPr="00457900">
              <w:rPr>
                <w:b/>
                <w:bCs/>
                <w:lang w:val="ru-RU"/>
              </w:rPr>
              <w:t>Ko‘rsatkich</w:t>
            </w:r>
          </w:p>
        </w:tc>
        <w:tc>
          <w:tcPr>
            <w:tcW w:w="1522" w:type="pct"/>
            <w:shd w:val="clear" w:color="auto" w:fill="BDD6EE" w:themeFill="accent1" w:themeFillTint="66"/>
            <w:hideMark/>
          </w:tcPr>
          <w:p w14:paraId="399085BA" w14:textId="77777777" w:rsidR="00457900" w:rsidRPr="00457900" w:rsidRDefault="00457900" w:rsidP="00985072">
            <w:pPr>
              <w:spacing w:line="276" w:lineRule="auto"/>
              <w:ind w:firstLine="709"/>
              <w:jc w:val="center"/>
              <w:rPr>
                <w:b/>
                <w:bCs/>
                <w:lang w:val="ru-RU"/>
              </w:rPr>
            </w:pPr>
            <w:r w:rsidRPr="00457900">
              <w:rPr>
                <w:b/>
                <w:bCs/>
                <w:lang w:val="ru-RU"/>
              </w:rPr>
              <w:t>Qiymat</w:t>
            </w:r>
          </w:p>
        </w:tc>
      </w:tr>
      <w:tr w:rsidR="00457900" w:rsidRPr="00457900" w14:paraId="08D795D9" w14:textId="77777777" w:rsidTr="00513F02">
        <w:trPr>
          <w:jc w:val="center"/>
        </w:trPr>
        <w:tc>
          <w:tcPr>
            <w:tcW w:w="3478" w:type="pct"/>
            <w:hideMark/>
          </w:tcPr>
          <w:p w14:paraId="2146EF81" w14:textId="77777777" w:rsidR="00457900" w:rsidRPr="00457900" w:rsidRDefault="00457900" w:rsidP="00985072">
            <w:pPr>
              <w:spacing w:line="276" w:lineRule="auto"/>
              <w:ind w:firstLine="709"/>
              <w:jc w:val="center"/>
              <w:rPr>
                <w:lang w:val="ru-RU"/>
              </w:rPr>
            </w:pPr>
            <w:r w:rsidRPr="00457900">
              <w:rPr>
                <w:lang w:val="ru-RU"/>
              </w:rPr>
              <w:t>Faol a’zolar soni</w:t>
            </w:r>
          </w:p>
        </w:tc>
        <w:tc>
          <w:tcPr>
            <w:tcW w:w="1522" w:type="pct"/>
            <w:hideMark/>
          </w:tcPr>
          <w:p w14:paraId="395EE72E" w14:textId="27EC1D03" w:rsidR="00457900" w:rsidRPr="00457900" w:rsidRDefault="00457900" w:rsidP="00985072">
            <w:pPr>
              <w:spacing w:line="276" w:lineRule="auto"/>
              <w:ind w:firstLine="709"/>
              <w:jc w:val="center"/>
              <w:rPr>
                <w:lang w:val="ru-RU"/>
              </w:rPr>
            </w:pPr>
            <w:r w:rsidRPr="00457900">
              <w:rPr>
                <w:lang w:val="ru-RU"/>
              </w:rPr>
              <w:t>1,60 mln</w:t>
            </w:r>
          </w:p>
        </w:tc>
      </w:tr>
      <w:tr w:rsidR="00457900" w:rsidRPr="00457900" w14:paraId="76AA4E06" w14:textId="77777777" w:rsidTr="00513F02">
        <w:trPr>
          <w:jc w:val="center"/>
        </w:trPr>
        <w:tc>
          <w:tcPr>
            <w:tcW w:w="3478" w:type="pct"/>
            <w:hideMark/>
          </w:tcPr>
          <w:p w14:paraId="519C59E8" w14:textId="77777777" w:rsidR="00457900" w:rsidRPr="00457900" w:rsidRDefault="00457900" w:rsidP="00985072">
            <w:pPr>
              <w:spacing w:line="276" w:lineRule="auto"/>
              <w:ind w:firstLine="709"/>
              <w:jc w:val="center"/>
              <w:rPr>
                <w:lang w:val="ru-RU"/>
              </w:rPr>
            </w:pPr>
            <w:r w:rsidRPr="00457900">
              <w:rPr>
                <w:lang w:val="ru-RU"/>
              </w:rPr>
              <w:t>Faol moliyalashtirilgan mijozlar soni</w:t>
            </w:r>
          </w:p>
        </w:tc>
        <w:tc>
          <w:tcPr>
            <w:tcW w:w="1522" w:type="pct"/>
            <w:hideMark/>
          </w:tcPr>
          <w:p w14:paraId="7631FC55" w14:textId="32054092" w:rsidR="00457900" w:rsidRPr="00457900" w:rsidRDefault="00457900" w:rsidP="00985072">
            <w:pPr>
              <w:spacing w:line="276" w:lineRule="auto"/>
              <w:ind w:firstLine="709"/>
              <w:jc w:val="center"/>
              <w:rPr>
                <w:lang w:val="ru-RU"/>
              </w:rPr>
            </w:pPr>
            <w:r w:rsidRPr="00457900">
              <w:rPr>
                <w:lang w:val="ru-RU"/>
              </w:rPr>
              <w:t>1,0 mln</w:t>
            </w:r>
          </w:p>
        </w:tc>
      </w:tr>
      <w:tr w:rsidR="00457900" w:rsidRPr="00457900" w14:paraId="30DE083B" w14:textId="77777777" w:rsidTr="00513F02">
        <w:trPr>
          <w:jc w:val="center"/>
        </w:trPr>
        <w:tc>
          <w:tcPr>
            <w:tcW w:w="3478" w:type="pct"/>
            <w:hideMark/>
          </w:tcPr>
          <w:p w14:paraId="7E8033D6" w14:textId="77777777" w:rsidR="00457900" w:rsidRPr="00457900" w:rsidRDefault="00457900" w:rsidP="00985072">
            <w:pPr>
              <w:spacing w:line="276" w:lineRule="auto"/>
              <w:ind w:firstLine="709"/>
              <w:jc w:val="center"/>
            </w:pPr>
            <w:r w:rsidRPr="00457900">
              <w:t>Faol moliyalashtirish hajmi (mln BDT)</w:t>
            </w:r>
          </w:p>
        </w:tc>
        <w:tc>
          <w:tcPr>
            <w:tcW w:w="1522" w:type="pct"/>
            <w:hideMark/>
          </w:tcPr>
          <w:p w14:paraId="17519C18" w14:textId="77777777" w:rsidR="00457900" w:rsidRPr="00457900" w:rsidRDefault="00457900" w:rsidP="00985072">
            <w:pPr>
              <w:spacing w:line="276" w:lineRule="auto"/>
              <w:ind w:firstLine="709"/>
              <w:jc w:val="center"/>
              <w:rPr>
                <w:lang w:val="ru-RU"/>
              </w:rPr>
            </w:pPr>
            <w:r w:rsidRPr="00457900">
              <w:rPr>
                <w:lang w:val="ru-RU"/>
              </w:rPr>
              <w:t>55 881</w:t>
            </w:r>
          </w:p>
        </w:tc>
      </w:tr>
      <w:tr w:rsidR="00457900" w:rsidRPr="00457900" w14:paraId="5F6B2FF8" w14:textId="77777777" w:rsidTr="00513F02">
        <w:trPr>
          <w:jc w:val="center"/>
        </w:trPr>
        <w:tc>
          <w:tcPr>
            <w:tcW w:w="3478" w:type="pct"/>
            <w:hideMark/>
          </w:tcPr>
          <w:p w14:paraId="50EE8C29" w14:textId="77777777" w:rsidR="00457900" w:rsidRPr="00457900" w:rsidRDefault="00457900" w:rsidP="00985072">
            <w:pPr>
              <w:spacing w:line="276" w:lineRule="auto"/>
              <w:ind w:firstLine="709"/>
              <w:jc w:val="center"/>
              <w:rPr>
                <w:lang w:val="ru-RU"/>
              </w:rPr>
            </w:pPr>
            <w:r w:rsidRPr="00457900">
              <w:rPr>
                <w:lang w:val="ru-RU"/>
              </w:rPr>
              <w:t>Qaytarilish darajasi (%)</w:t>
            </w:r>
          </w:p>
        </w:tc>
        <w:tc>
          <w:tcPr>
            <w:tcW w:w="1522" w:type="pct"/>
            <w:hideMark/>
          </w:tcPr>
          <w:p w14:paraId="6A83DABB" w14:textId="77777777" w:rsidR="00457900" w:rsidRPr="00457900" w:rsidRDefault="00457900" w:rsidP="00985072">
            <w:pPr>
              <w:spacing w:line="276" w:lineRule="auto"/>
              <w:ind w:firstLine="709"/>
              <w:jc w:val="center"/>
              <w:rPr>
                <w:lang w:val="ru-RU"/>
              </w:rPr>
            </w:pPr>
            <w:r w:rsidRPr="00457900">
              <w:rPr>
                <w:lang w:val="ru-RU"/>
              </w:rPr>
              <w:t>99,03</w:t>
            </w:r>
          </w:p>
        </w:tc>
      </w:tr>
      <w:tr w:rsidR="00457900" w:rsidRPr="00457900" w14:paraId="787B862E" w14:textId="77777777" w:rsidTr="00513F02">
        <w:trPr>
          <w:jc w:val="center"/>
        </w:trPr>
        <w:tc>
          <w:tcPr>
            <w:tcW w:w="3478" w:type="pct"/>
            <w:hideMark/>
          </w:tcPr>
          <w:p w14:paraId="2E1C167C" w14:textId="77777777" w:rsidR="00457900" w:rsidRPr="00457900" w:rsidRDefault="00457900" w:rsidP="00985072">
            <w:pPr>
              <w:spacing w:line="276" w:lineRule="auto"/>
              <w:ind w:firstLine="709"/>
              <w:jc w:val="center"/>
            </w:pPr>
            <w:r w:rsidRPr="00457900">
              <w:t>A’zolarning jamg‘armalari (mln BDT)</w:t>
            </w:r>
          </w:p>
        </w:tc>
        <w:tc>
          <w:tcPr>
            <w:tcW w:w="1522" w:type="pct"/>
            <w:hideMark/>
          </w:tcPr>
          <w:p w14:paraId="06976147" w14:textId="77777777" w:rsidR="00457900" w:rsidRPr="00457900" w:rsidRDefault="00457900" w:rsidP="00985072">
            <w:pPr>
              <w:spacing w:line="276" w:lineRule="auto"/>
              <w:ind w:firstLine="709"/>
              <w:jc w:val="center"/>
              <w:rPr>
                <w:lang w:val="ru-RU"/>
              </w:rPr>
            </w:pPr>
            <w:r w:rsidRPr="00457900">
              <w:rPr>
                <w:lang w:val="ru-RU"/>
              </w:rPr>
              <w:t>15 189</w:t>
            </w:r>
          </w:p>
        </w:tc>
      </w:tr>
    </w:tbl>
    <w:p w14:paraId="4F9A3930" w14:textId="77777777" w:rsidR="00985072" w:rsidRDefault="00985072" w:rsidP="00985072">
      <w:pPr>
        <w:spacing w:after="0" w:line="276" w:lineRule="auto"/>
        <w:ind w:firstLine="709"/>
        <w:jc w:val="both"/>
      </w:pPr>
    </w:p>
    <w:p w14:paraId="584C3DBF" w14:textId="45119BFE" w:rsidR="00162CB1" w:rsidRPr="00643E3C" w:rsidRDefault="00162CB1" w:rsidP="00985072">
      <w:pPr>
        <w:spacing w:after="0" w:line="276" w:lineRule="auto"/>
        <w:ind w:firstLine="709"/>
        <w:jc w:val="both"/>
      </w:pPr>
      <w:r w:rsidRPr="00643E3C">
        <w:t>Umuman</w:t>
      </w:r>
      <w:r w:rsidRPr="004266E1">
        <w:t xml:space="preserve"> </w:t>
      </w:r>
      <w:r w:rsidRPr="00643E3C">
        <w:t>olganda</w:t>
      </w:r>
      <w:r w:rsidRPr="004266E1">
        <w:t xml:space="preserve">, </w:t>
      </w:r>
      <w:r w:rsidR="00D8211E">
        <w:t>IBBPLC</w:t>
      </w:r>
      <w:r w:rsidRPr="004266E1">
        <w:t xml:space="preserve"> </w:t>
      </w:r>
      <w:r w:rsidRPr="00643E3C">
        <w:t>tarkibida</w:t>
      </w:r>
      <w:r w:rsidRPr="004266E1">
        <w:t xml:space="preserve"> 1995-</w:t>
      </w:r>
      <w:r w:rsidRPr="00643E3C">
        <w:t>yildan</w:t>
      </w:r>
      <w:r w:rsidRPr="004266E1">
        <w:t xml:space="preserve"> </w:t>
      </w:r>
      <w:r w:rsidRPr="00643E3C">
        <w:t>beri</w:t>
      </w:r>
      <w:r w:rsidRPr="004266E1">
        <w:t xml:space="preserve"> </w:t>
      </w:r>
      <w:r w:rsidRPr="00643E3C">
        <w:t>Bangladeshdagi</w:t>
      </w:r>
      <w:r w:rsidRPr="004266E1">
        <w:t xml:space="preserve"> </w:t>
      </w:r>
      <w:r w:rsidRPr="00643E3C">
        <w:t>qashshoq</w:t>
      </w:r>
      <w:r w:rsidRPr="004266E1">
        <w:t xml:space="preserve"> </w:t>
      </w:r>
      <w:r w:rsidRPr="00643E3C">
        <w:t>aholiga</w:t>
      </w:r>
      <w:r w:rsidRPr="004266E1">
        <w:t xml:space="preserve"> </w:t>
      </w:r>
      <w:r w:rsidRPr="00643E3C">
        <w:t>taqdim</w:t>
      </w:r>
      <w:r w:rsidRPr="004266E1">
        <w:t xml:space="preserve"> </w:t>
      </w:r>
      <w:r w:rsidRPr="00643E3C">
        <w:t>etib</w:t>
      </w:r>
      <w:r w:rsidRPr="004266E1">
        <w:t xml:space="preserve"> </w:t>
      </w:r>
      <w:r w:rsidRPr="00643E3C">
        <w:t>kelinayotgan</w:t>
      </w:r>
      <w:r w:rsidRPr="004266E1">
        <w:t xml:space="preserve"> </w:t>
      </w:r>
      <w:r w:rsidRPr="00643E3C">
        <w:t>ushbu</w:t>
      </w:r>
      <w:r w:rsidRPr="004266E1">
        <w:t xml:space="preserve"> </w:t>
      </w:r>
      <w:r w:rsidRPr="00643E3C">
        <w:t>dastur</w:t>
      </w:r>
      <w:r w:rsidRPr="004266E1">
        <w:t xml:space="preserve"> </w:t>
      </w:r>
      <w:r w:rsidRPr="00643E3C">
        <w:t>muvaffaqiyatli</w:t>
      </w:r>
      <w:r w:rsidRPr="004266E1">
        <w:t xml:space="preserve"> </w:t>
      </w:r>
      <w:r w:rsidRPr="00643E3C">
        <w:t>davom</w:t>
      </w:r>
      <w:r w:rsidRPr="004266E1">
        <w:t xml:space="preserve"> </w:t>
      </w:r>
      <w:r w:rsidRPr="00643E3C">
        <w:t>etmoqda</w:t>
      </w:r>
      <w:r w:rsidRPr="004266E1">
        <w:t xml:space="preserve">. </w:t>
      </w:r>
      <w:r w:rsidRPr="00643E3C">
        <w:t>Bu esa islomiy banklar doirasida mikromoliya xizmatlarini samarali ravishda amalga oshirish mumkinligini ko‘rsatadi.</w:t>
      </w:r>
    </w:p>
    <w:p w14:paraId="7FE9BE18" w14:textId="77777777" w:rsidR="00162CB1" w:rsidRPr="00643E3C" w:rsidRDefault="00162CB1" w:rsidP="00985072">
      <w:pPr>
        <w:spacing w:after="0" w:line="276" w:lineRule="auto"/>
        <w:ind w:firstLine="709"/>
        <w:jc w:val="both"/>
      </w:pPr>
      <w:r w:rsidRPr="00643E3C">
        <w:t xml:space="preserve">Bundan tashqari, mijozlarning moliyaviy holati yaxshilanib borishi natijasida, ular kelajakda oddiy tijorat moliyalashtirish xizmatlaridan foydalanuvchi mijozlarga aylanishlari mumkinligi kuzatilmoqda. Ya’ni, dastlab bank uchun daromad keltirmaydigan, yuqori xavfli loyihaga o‘xshab ko‘ringan bu dastur o‘rta va uzoq </w:t>
      </w:r>
      <w:r w:rsidRPr="00643E3C">
        <w:lastRenderedPageBreak/>
        <w:t>muddatda islomiy bank uchun barqaror foyda keltiruvchi mijozlar bazasining shakllanishiga olib kelishi mumkin.</w:t>
      </w:r>
    </w:p>
    <w:p w14:paraId="452EACA2" w14:textId="59CEEAE3" w:rsidR="00E12C1E" w:rsidRDefault="00162CB1" w:rsidP="00985072">
      <w:pPr>
        <w:spacing w:after="0" w:line="276" w:lineRule="auto"/>
        <w:ind w:firstLine="709"/>
        <w:jc w:val="both"/>
      </w:pPr>
      <w:r w:rsidRPr="00643E3C">
        <w:t xml:space="preserve">Shu bilan birga, RDS dasturi </w:t>
      </w:r>
      <w:r w:rsidR="00D8211E">
        <w:t>IBBPLC</w:t>
      </w:r>
      <w:r w:rsidRPr="00643E3C">
        <w:t>ga nafaqat yangi mijozlarni jalb qilmoqda, balki bankning boshqa islomiy banklar orasida ijtimoiy mas’uliyatli moliya instituti sifatida obro‘sini oshirishga ham hissa qo‘shmoqda.</w:t>
      </w:r>
    </w:p>
    <w:p w14:paraId="4DFF3789" w14:textId="77777777" w:rsidR="00985072" w:rsidRDefault="00985072" w:rsidP="00985072">
      <w:pPr>
        <w:spacing w:after="0" w:line="276" w:lineRule="auto"/>
        <w:ind w:firstLine="709"/>
        <w:jc w:val="both"/>
        <w:rPr>
          <w:b/>
          <w:bCs/>
        </w:rPr>
      </w:pPr>
    </w:p>
    <w:p w14:paraId="1AF871BF" w14:textId="77777777" w:rsidR="00985072" w:rsidRDefault="00C84658" w:rsidP="00985072">
      <w:pPr>
        <w:spacing w:after="0" w:line="276" w:lineRule="auto"/>
        <w:ind w:firstLine="709"/>
        <w:jc w:val="both"/>
        <w:rPr>
          <w:b/>
          <w:bCs/>
        </w:rPr>
      </w:pPr>
      <w:r w:rsidRPr="00C84658">
        <w:rPr>
          <w:b/>
          <w:bCs/>
        </w:rPr>
        <w:t>Xulosa</w:t>
      </w:r>
      <w:r w:rsidR="004D1C54">
        <w:rPr>
          <w:b/>
          <w:bCs/>
        </w:rPr>
        <w:t xml:space="preserve">. </w:t>
      </w:r>
    </w:p>
    <w:p w14:paraId="3409D6B3" w14:textId="5302515E" w:rsidR="00C84658" w:rsidRPr="00C84658" w:rsidRDefault="00C84658" w:rsidP="00985072">
      <w:pPr>
        <w:spacing w:after="0" w:line="276" w:lineRule="auto"/>
        <w:ind w:firstLine="709"/>
        <w:jc w:val="both"/>
      </w:pPr>
      <w:r w:rsidRPr="00C84658">
        <w:t>O‘tkazilgan tahlillar shuni ko‘rsatadiki, Bangladeshda mikromoliya sektori kambag‘allikni kamaytirishda muhim o‘rin egallab kelmoqda. Xususan, Islami Bank Bangladesh PLC tomonidan amalga oshirilayotgan “Qishloq hududlarini rivojlantirish dasturi” (RDS) shariatga mos moliyaviy xizmatlarni qishloq rivojlanishi maqsadlari bilan uyg‘unlashtirgan eng yirik islomiy mikromoliya tajribalaridan biridir.</w:t>
      </w:r>
    </w:p>
    <w:p w14:paraId="787E6FF5" w14:textId="77777777" w:rsidR="00C84658" w:rsidRPr="00C84658" w:rsidRDefault="00C84658" w:rsidP="00985072">
      <w:pPr>
        <w:spacing w:after="0" w:line="276" w:lineRule="auto"/>
        <w:ind w:firstLine="709"/>
        <w:jc w:val="both"/>
      </w:pPr>
      <w:r w:rsidRPr="00C84658">
        <w:t>Dastur orqali moliyaviy inklyuziya sezilarli darajada kengaydi, kam ta’minlangan aholining daromad manbalari ko‘paydi va ularning jamg‘arma madaniyati shakllandi. Rasmiy statistika ma’lumotlariga ko‘ra, RDS nafaqat kambag‘al aholiga iqtisodiy imkoniyatlar yaratib berdi, balki xotin-qizlarning moliyaviy faoliyatini oshirib, ijtimoiy barqarorlikka ham ijobiy hissa qo‘shdi.</w:t>
      </w:r>
    </w:p>
    <w:p w14:paraId="38970112" w14:textId="0FB32492" w:rsidR="00C84658" w:rsidRDefault="00C84658" w:rsidP="00985072">
      <w:pPr>
        <w:spacing w:after="0" w:line="276" w:lineRule="auto"/>
        <w:ind w:firstLine="709"/>
        <w:jc w:val="both"/>
      </w:pPr>
      <w:r w:rsidRPr="00C84658">
        <w:t>Umuman olganda, RDS tajribasi islomiy moliya institutlarining ijtimoiy mas’uliyatni o‘z faoliyatida samarali amalga oshirishi mumkinligini ko‘rsatadi. Ushbu tajriba boshqa musulmon davlatlari, jumladan O‘zbekiston uchun ham foydali model bo‘lib xizmat qilishi, kambag‘allikni yumshatish va moliyaviy inklyuziyani kengaytirish yo‘lida amaliy ahamiyat kasb etishi mumkin.</w:t>
      </w:r>
    </w:p>
    <w:p w14:paraId="56E44EE2" w14:textId="77777777" w:rsidR="004D1C54" w:rsidRDefault="004D1C54" w:rsidP="00985072">
      <w:pPr>
        <w:spacing w:after="0" w:line="276" w:lineRule="auto"/>
        <w:ind w:firstLine="709"/>
        <w:jc w:val="both"/>
      </w:pPr>
    </w:p>
    <w:p w14:paraId="42BE3B51" w14:textId="31ECA3AC" w:rsidR="00C84658" w:rsidRPr="00985072" w:rsidRDefault="00C84658" w:rsidP="00985072">
      <w:pPr>
        <w:widowControl w:val="0"/>
        <w:tabs>
          <w:tab w:val="left" w:pos="993"/>
        </w:tabs>
        <w:spacing w:after="0" w:line="276" w:lineRule="auto"/>
        <w:ind w:firstLine="709"/>
        <w:jc w:val="center"/>
        <w:rPr>
          <w:rFonts w:cs="Times New Roman"/>
          <w:b/>
          <w:bCs/>
          <w:i/>
          <w:szCs w:val="28"/>
        </w:rPr>
      </w:pPr>
      <w:r w:rsidRPr="00985072">
        <w:rPr>
          <w:rFonts w:cs="Times New Roman"/>
          <w:b/>
          <w:bCs/>
          <w:i/>
          <w:szCs w:val="28"/>
        </w:rPr>
        <w:t>FOYDALANILGAN ADABIYOTLAR RO‘YHATI</w:t>
      </w:r>
    </w:p>
    <w:p w14:paraId="3A28DCC9" w14:textId="360A5DF7" w:rsidR="00BD3478" w:rsidRPr="00985072" w:rsidRDefault="00BD3478"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Islami Bank Bangladesh PLC. Annual Report 2022. Dhaka: IBBL, 2023, pp. 200-210.</w:t>
      </w:r>
    </w:p>
    <w:p w14:paraId="6F4A8B00" w14:textId="2024ADB6" w:rsidR="00C84658" w:rsidRPr="00985072" w:rsidRDefault="00C84658"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Islam K. M. A. Rural development scheme: A case study on Islami Bank Bangladesh Limited //International Journal of Finance and Banking Research. – 2016. – Т. 2. – №. 4. – С. 129.</w:t>
      </w:r>
    </w:p>
    <w:p w14:paraId="3215DA2B" w14:textId="166E9735" w:rsidR="00026447" w:rsidRPr="00985072" w:rsidRDefault="00026447"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Islam M. S. Role of Islamic microfinance in women’s empowerment: evidence from rural development scheme of Islami bank Bangladesh limited //ISRA International Journal of Islamic Finance. – 2021. – Т. 13. – №. 1. – С. 26-45.</w:t>
      </w:r>
    </w:p>
    <w:p w14:paraId="2D1300FB" w14:textId="4DB60300" w:rsidR="00026447" w:rsidRPr="00985072" w:rsidRDefault="00026447"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Islam, T. The Role of Rural Development Scheme (RDS) of Islami Bank Bangladesh Limited in Developing Social Justice in the Economy of Bangladesh // Journal of Creative Writing. 2017. Vol. 3, No. 2. P. 72, 84–85.</w:t>
      </w:r>
    </w:p>
    <w:p w14:paraId="5F0BD32C" w14:textId="1F85CB2C" w:rsidR="00BD3478" w:rsidRPr="00985072" w:rsidRDefault="00BD3478"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lastRenderedPageBreak/>
        <w:t>Hossain, B. “Impact of urban microfinance on the livelihood strategies: Evidence from Bangladesh.” Cities, 2020. P. 5. DOI:10.1016/j.cities.2018.03.003.</w:t>
      </w:r>
    </w:p>
    <w:p w14:paraId="7347BFA6" w14:textId="2BD32A55" w:rsidR="00E12C1E" w:rsidRPr="00985072" w:rsidRDefault="00E12C1E"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 xml:space="preserve">Microcredit Regulatory Authority. Microfinance in Bangladesh (Annual Statistics), June 2023. – Dhaka: MRA, 2023. – 392 p. </w:t>
      </w:r>
    </w:p>
    <w:p w14:paraId="59E9B0DF" w14:textId="5BB41961" w:rsidR="00C84658" w:rsidRPr="00985072" w:rsidRDefault="00C84658"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Rahman M. M., Jafrullah M., Islam A. N. M. T. Rural development scheme of Islami Bank Bangladesh Limited (IBBL): assessment and challenges //International Journal of Economics, Management and Accounting. – 2008. – Т. 16. – №. 2.</w:t>
      </w:r>
    </w:p>
    <w:p w14:paraId="33FD9976" w14:textId="77777777" w:rsidR="00611B47" w:rsidRPr="00985072" w:rsidRDefault="00611B47"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Roushan M. General banking &amp; investment modes of Islamic Bank Bangladesh Ltd. – 2015.</w:t>
      </w:r>
    </w:p>
    <w:p w14:paraId="229030A1" w14:textId="77777777" w:rsidR="00E12C1E" w:rsidRPr="00985072" w:rsidRDefault="00E12C1E"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Özdemir, M. Türkiye’de İslami Mikrofinans Üzerine Uygulanabilir Model Önerileri: Doktora Tezi. – Sakarya: Sakarya Üniversitesi, Sosyal Bilimler Enstitüsü, 2018. – 437 b.</w:t>
      </w:r>
    </w:p>
    <w:p w14:paraId="5F74607E" w14:textId="67E09797" w:rsidR="00611B47" w:rsidRPr="00985072" w:rsidRDefault="00611B47"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Sarker, A.E. Rural Development Scheme (RDS) of Islami Bank Bangladesh Limited: An Innovative Initiative for Poverty Alleviation. – Humanomics, Vol. 34, No. 2, 2018. – P. 154–170. DOI:10.1108/H-01-2018-0008.</w:t>
      </w:r>
    </w:p>
    <w:p w14:paraId="6E7E135B" w14:textId="2F805DBA" w:rsidR="00611B47" w:rsidRPr="00985072" w:rsidRDefault="00611B47"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Uddin A. A New Dimension of Islamic Microfinance Revolution in Bangladesh: A Case Study of RDS //Journal of Turkish Social Sciences Research. – 2017. – Т. 2. – №. 2.</w:t>
      </w:r>
    </w:p>
    <w:p w14:paraId="10A64491" w14:textId="4389BCAC" w:rsidR="00E12C1E" w:rsidRPr="00985072" w:rsidRDefault="00E12C1E"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 xml:space="preserve">United Nations Development Programme. Human Development Report 2023/24. Human Development Index (HDI) Ranking. – UNDP, 2024. – URL: </w:t>
      </w:r>
      <w:hyperlink r:id="rId9" w:history="1">
        <w:r w:rsidRPr="00985072">
          <w:rPr>
            <w:rStyle w:val="ad"/>
            <w:i/>
            <w:sz w:val="28"/>
            <w:szCs w:val="28"/>
          </w:rPr>
          <w:t>https://www.tbsnews.net/bangladesh/human-development-index-bangladesh-ranks-129th-again-remains-ahead-india-pakistan-809218</w:t>
        </w:r>
      </w:hyperlink>
      <w:r w:rsidRPr="00985072">
        <w:rPr>
          <w:i/>
          <w:sz w:val="28"/>
          <w:szCs w:val="28"/>
        </w:rPr>
        <w:t xml:space="preserve"> </w:t>
      </w:r>
    </w:p>
    <w:p w14:paraId="55A12B5E" w14:textId="2111A852" w:rsidR="00E12C1E" w:rsidRPr="00985072" w:rsidRDefault="00E12C1E" w:rsidP="00985072">
      <w:pPr>
        <w:pStyle w:val="ae"/>
        <w:numPr>
          <w:ilvl w:val="0"/>
          <w:numId w:val="8"/>
        </w:numPr>
        <w:tabs>
          <w:tab w:val="left" w:pos="1134"/>
        </w:tabs>
        <w:spacing w:line="276" w:lineRule="auto"/>
        <w:ind w:left="0" w:firstLine="709"/>
        <w:jc w:val="both"/>
        <w:rPr>
          <w:i/>
          <w:sz w:val="28"/>
          <w:szCs w:val="28"/>
        </w:rPr>
      </w:pPr>
      <w:r w:rsidRPr="00985072">
        <w:rPr>
          <w:i/>
          <w:sz w:val="28"/>
          <w:szCs w:val="28"/>
        </w:rPr>
        <w:t xml:space="preserve">World Bank. Bangladesh Overview. – 2024. – URL: </w:t>
      </w:r>
      <w:hyperlink r:id="rId10" w:tgtFrame="_new" w:history="1">
        <w:r w:rsidRPr="00985072">
          <w:rPr>
            <w:rStyle w:val="ad"/>
            <w:i/>
            <w:sz w:val="28"/>
            <w:szCs w:val="28"/>
          </w:rPr>
          <w:t>https://www.worldbank.org/en/country/bangladesh/overview</w:t>
        </w:r>
      </w:hyperlink>
      <w:r w:rsidRPr="00985072">
        <w:rPr>
          <w:i/>
          <w:sz w:val="28"/>
          <w:szCs w:val="28"/>
        </w:rPr>
        <w:t xml:space="preserve">  </w:t>
      </w:r>
    </w:p>
    <w:p w14:paraId="3A55A925" w14:textId="239B8978" w:rsidR="00E172DA" w:rsidRPr="00985072" w:rsidRDefault="00FD6EFA" w:rsidP="00985072">
      <w:pPr>
        <w:pStyle w:val="ae"/>
        <w:numPr>
          <w:ilvl w:val="0"/>
          <w:numId w:val="8"/>
        </w:numPr>
        <w:tabs>
          <w:tab w:val="left" w:pos="1134"/>
        </w:tabs>
        <w:spacing w:line="276" w:lineRule="auto"/>
        <w:ind w:left="0" w:firstLine="709"/>
        <w:jc w:val="both"/>
        <w:rPr>
          <w:i/>
          <w:sz w:val="28"/>
          <w:szCs w:val="28"/>
        </w:rPr>
      </w:pPr>
      <w:hyperlink r:id="rId11" w:history="1">
        <w:r w:rsidR="00E12C1E" w:rsidRPr="00985072">
          <w:rPr>
            <w:rStyle w:val="ad"/>
            <w:i/>
            <w:sz w:val="28"/>
            <w:szCs w:val="28"/>
          </w:rPr>
          <w:t>https://worldpopulationreview.com/country-rankings/muslim-population-by-country</w:t>
        </w:r>
      </w:hyperlink>
    </w:p>
    <w:sectPr w:rsidR="00E172DA" w:rsidRPr="00985072" w:rsidSect="00162CB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3E902" w14:textId="77777777" w:rsidR="00FD6EFA" w:rsidRPr="00643E3C" w:rsidRDefault="00FD6EFA" w:rsidP="001E3753">
      <w:pPr>
        <w:spacing w:after="0"/>
      </w:pPr>
      <w:r w:rsidRPr="00643E3C">
        <w:separator/>
      </w:r>
    </w:p>
  </w:endnote>
  <w:endnote w:type="continuationSeparator" w:id="0">
    <w:p w14:paraId="4847BE4D" w14:textId="77777777" w:rsidR="00FD6EFA" w:rsidRPr="00643E3C" w:rsidRDefault="00FD6EFA" w:rsidP="001E3753">
      <w:pPr>
        <w:spacing w:after="0"/>
      </w:pPr>
      <w:r w:rsidRPr="00643E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928E" w14:textId="77777777" w:rsidR="00FD6EFA" w:rsidRPr="00643E3C" w:rsidRDefault="00FD6EFA" w:rsidP="001E3753">
      <w:pPr>
        <w:spacing w:after="0"/>
      </w:pPr>
      <w:r w:rsidRPr="00643E3C">
        <w:separator/>
      </w:r>
    </w:p>
  </w:footnote>
  <w:footnote w:type="continuationSeparator" w:id="0">
    <w:p w14:paraId="4DE4D2AF" w14:textId="77777777" w:rsidR="00FD6EFA" w:rsidRPr="00643E3C" w:rsidRDefault="00FD6EFA" w:rsidP="001E3753">
      <w:pPr>
        <w:spacing w:after="0"/>
      </w:pPr>
      <w:r w:rsidRPr="00643E3C">
        <w:continuationSeparator/>
      </w:r>
    </w:p>
  </w:footnote>
  <w:footnote w:id="1">
    <w:p w14:paraId="114225F4" w14:textId="3043E5A0"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World Bank. Bangladesh Overview. – 2024. – URL: </w:t>
      </w:r>
      <w:hyperlink r:id="rId1" w:tgtFrame="_new" w:history="1">
        <w:r w:rsidRPr="008A5A40">
          <w:rPr>
            <w:rStyle w:val="ad"/>
            <w:rFonts w:asciiTheme="majorBidi" w:hAnsiTheme="majorBidi" w:cstheme="majorBidi"/>
          </w:rPr>
          <w:t>https://www.worldbank.org/en/country/bangladesh/overview</w:t>
        </w:r>
      </w:hyperlink>
      <w:r w:rsidRPr="008A5A40">
        <w:rPr>
          <w:rFonts w:asciiTheme="majorBidi" w:hAnsiTheme="majorBidi" w:cstheme="majorBidi"/>
        </w:rPr>
        <w:t xml:space="preserve"> </w:t>
      </w:r>
    </w:p>
  </w:footnote>
  <w:footnote w:id="2">
    <w:p w14:paraId="391E6892" w14:textId="4EE84D8A"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World Bank. Bangladesh Overview. – 2024. – URL: </w:t>
      </w:r>
      <w:hyperlink r:id="rId2" w:tgtFrame="_new" w:history="1">
        <w:r w:rsidRPr="008A5A40">
          <w:rPr>
            <w:rStyle w:val="ad"/>
            <w:rFonts w:asciiTheme="majorBidi" w:hAnsiTheme="majorBidi" w:cstheme="majorBidi"/>
          </w:rPr>
          <w:t>https://www.worldbank.org/en/country/bangladesh/overview</w:t>
        </w:r>
      </w:hyperlink>
      <w:r w:rsidRPr="008A5A40">
        <w:rPr>
          <w:rFonts w:asciiTheme="majorBidi" w:hAnsiTheme="majorBidi" w:cstheme="majorBidi"/>
        </w:rPr>
        <w:t xml:space="preserve"> </w:t>
      </w:r>
    </w:p>
  </w:footnote>
  <w:footnote w:id="3">
    <w:p w14:paraId="668F2BBB" w14:textId="6BAE1EAA"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United Nations Development Programme. Human Development Report 2023/24. Human Development Index (HDI) Ranking. – UNDP, 2024. – URL: </w:t>
      </w:r>
      <w:hyperlink r:id="rId3" w:history="1">
        <w:r w:rsidRPr="008A5A40">
          <w:rPr>
            <w:rStyle w:val="ad"/>
            <w:rFonts w:asciiTheme="majorBidi" w:hAnsiTheme="majorBidi" w:cstheme="majorBidi"/>
          </w:rPr>
          <w:t>https://www.tbsnews.net/bangladesh/human-development-index-bangladesh-ranks-129th-again-remains-ahead-india-pakistan-809218</w:t>
        </w:r>
      </w:hyperlink>
      <w:r w:rsidRPr="008A5A40">
        <w:rPr>
          <w:rFonts w:asciiTheme="majorBidi" w:hAnsiTheme="majorBidi" w:cstheme="majorBidi"/>
        </w:rPr>
        <w:t xml:space="preserve"> </w:t>
      </w:r>
    </w:p>
  </w:footnote>
  <w:footnote w:id="4">
    <w:p w14:paraId="1D0E5807" w14:textId="11DB4A3C"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5">
    <w:p w14:paraId="568B6618" w14:textId="0D0D3422" w:rsidR="00DE1DDA" w:rsidRPr="008A5A40" w:rsidRDefault="00DE1DDA"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Obaidullah M. Introduction to Islamic Microfinance. Jeddah: IRTI</w:t>
      </w:r>
      <w:r w:rsidR="002A611D" w:rsidRPr="008A5A40">
        <w:rPr>
          <w:rFonts w:asciiTheme="majorBidi" w:hAnsiTheme="majorBidi" w:cstheme="majorBidi"/>
        </w:rPr>
        <w:t xml:space="preserve"> </w:t>
      </w:r>
      <w:r w:rsidRPr="008A5A40">
        <w:rPr>
          <w:rFonts w:asciiTheme="majorBidi" w:hAnsiTheme="majorBidi" w:cstheme="majorBidi"/>
        </w:rPr>
        <w:t>–</w:t>
      </w:r>
      <w:r w:rsidR="002A611D" w:rsidRPr="008A5A40">
        <w:rPr>
          <w:rFonts w:asciiTheme="majorBidi" w:hAnsiTheme="majorBidi" w:cstheme="majorBidi"/>
        </w:rPr>
        <w:t xml:space="preserve"> </w:t>
      </w:r>
      <w:r w:rsidRPr="008A5A40">
        <w:rPr>
          <w:rFonts w:asciiTheme="majorBidi" w:hAnsiTheme="majorBidi" w:cstheme="majorBidi"/>
        </w:rPr>
        <w:t xml:space="preserve">IDB, 2008. </w:t>
      </w:r>
    </w:p>
  </w:footnote>
  <w:footnote w:id="6">
    <w:p w14:paraId="0398F96D" w14:textId="07125D65" w:rsidR="00DE1DDA" w:rsidRPr="008A5A40" w:rsidRDefault="00DE1DDA"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Sarker A.E. Rural Development Scheme (RDS) of Islami Bank Bangladesh Limited: An Innovative Initiative for Poverty Alleviation // Humanomics. 2018. Vol. 34, No. 2. P. 154-170. DOI:10.1108/H-01-2018-0008.</w:t>
      </w:r>
    </w:p>
  </w:footnote>
  <w:footnote w:id="7">
    <w:p w14:paraId="6C7B18CE" w14:textId="5DB33D75" w:rsidR="00DE1DDA" w:rsidRPr="008A5A40" w:rsidRDefault="00DE1DDA"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 M.S. Role of Islamic Microfinance in Women’s Empowerment: Evidence from Rural Development Scheme of Islami Bank Bangladesh Limited // ISRA International Journal of Islamic Finance. 2021. Vol. 13, No. 1. P. 26-45.</w:t>
      </w:r>
    </w:p>
  </w:footnote>
  <w:footnote w:id="8">
    <w:p w14:paraId="18FE8C40" w14:textId="69899DB6" w:rsidR="00DE1DDA" w:rsidRPr="008A5A40" w:rsidRDefault="00DE1DDA"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Rahman M.M.; Jafrullah M.; Islam A.N.M.T. Rural Development Scheme of Islami Bank Bangladesh Limited (IBBL): Assessment and Challenges // International Journal of Economics, Management and Accounting. 2008. Vol. 16, No. 2.</w:t>
      </w:r>
    </w:p>
  </w:footnote>
  <w:footnote w:id="9">
    <w:p w14:paraId="2A209107" w14:textId="47CCB8D4" w:rsidR="00DE1DDA" w:rsidRPr="008A5A40" w:rsidRDefault="00DE1DDA"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Özdemir M. Türkiye’de İslami Mikrofinans Üzerine Uygulanabilir Model Önerileri: Doktora tezi. Sakarya: Sakarya Üniversitesi, Sosyal Bilimler Enstitüsü, 2018. 437 b.</w:t>
      </w:r>
    </w:p>
  </w:footnote>
  <w:footnote w:id="10">
    <w:p w14:paraId="4CF67557" w14:textId="555DE4FE"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1">
    <w:p w14:paraId="0578A956" w14:textId="0E26C5C2"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2">
    <w:p w14:paraId="2E360FBE" w14:textId="348ECC91"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3">
    <w:p w14:paraId="34A3D95A" w14:textId="654AA0B4"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4">
    <w:p w14:paraId="60CA5721" w14:textId="7B0404E9"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5">
    <w:p w14:paraId="2FE219B1" w14:textId="643D5195"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6">
    <w:p w14:paraId="408E12E3" w14:textId="1F6FB38C"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7">
    <w:p w14:paraId="77EF467E" w14:textId="1B47C359"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8">
    <w:p w14:paraId="62B7B170" w14:textId="2B1DFDBB"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Microcredit Regulatory Authority. Microfinance in Bangladesh (Annual Statistics), June 2023. – Dhaka: MRA, 2023. – 392 p. </w:t>
      </w:r>
    </w:p>
  </w:footnote>
  <w:footnote w:id="19">
    <w:p w14:paraId="494CA25A" w14:textId="389BC4F4"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w:t>
      </w:r>
      <w:hyperlink r:id="rId4" w:history="1">
        <w:r w:rsidRPr="008A5A40">
          <w:rPr>
            <w:rStyle w:val="ad"/>
            <w:rFonts w:asciiTheme="majorBidi" w:hAnsiTheme="majorBidi" w:cstheme="majorBidi"/>
          </w:rPr>
          <w:t>https://worldpopulationreview.com/country-rankings/muslim-population-by-country</w:t>
        </w:r>
      </w:hyperlink>
    </w:p>
  </w:footnote>
  <w:footnote w:id="20">
    <w:p w14:paraId="500860A5" w14:textId="4ADF8C32"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Rahman M. M., Jafrullah M., Islam A. N. M. T. Rural development scheme of Islami Bank Bangladesh Limited (IBBL): assessment and challenges //International Journal of Economics, Management and Accounting. – 2008. – Т. 16. – №. 2.</w:t>
      </w:r>
    </w:p>
  </w:footnote>
  <w:footnote w:id="21">
    <w:p w14:paraId="053E9BAB" w14:textId="7D1245E8"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 K. M. A. Rural development scheme: A case study on Islami Bank Bangladesh Limited //International Journal of Finance and Banking Research. – 2016. – Т. 2. – №. 4. – С. 129.</w:t>
      </w:r>
    </w:p>
  </w:footnote>
  <w:footnote w:id="22">
    <w:p w14:paraId="03BE69F0" w14:textId="4110DD20"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 T. The Role of Rural Development Scheme (RDS) of Islami Bank Bangladesh Limited in Developing Social Justice in the Economy of Bangladesh // Journal of Creative Writing. 2017. Vol. 3, No. 2. P. 72, 84-85.</w:t>
      </w:r>
    </w:p>
  </w:footnote>
  <w:footnote w:id="23">
    <w:p w14:paraId="59D4E4CF" w14:textId="12176324" w:rsidR="00185793" w:rsidRPr="008A5A40" w:rsidRDefault="00185793"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1.</w:t>
      </w:r>
      <w:r w:rsidRPr="008A5A40">
        <w:rPr>
          <w:rFonts w:asciiTheme="majorBidi" w:hAnsiTheme="majorBidi" w:cstheme="majorBidi"/>
        </w:rPr>
        <w:tab/>
        <w:t>Özdemir, M. Türkiye’de İslami Mikrofinans Üzerine Uygulanabilir Model Önerileri: Doktora Tezi. – Sakarya: Sakarya Üniversitesi, Sosyal Bilimler Enstitüsü, 2018. – 437 b.</w:t>
      </w:r>
    </w:p>
  </w:footnote>
  <w:footnote w:id="24">
    <w:p w14:paraId="12EF49C3" w14:textId="77777777"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 M. S. Role of Islamic microfinance in women’s empowerment: evidence from rural development scheme of Islami bank Bangladesh limited //ISRA International Journal of Islamic Finance. – 2021. – Т. 13. – №. 1. – С. 26-45.</w:t>
      </w:r>
    </w:p>
    <w:p w14:paraId="75136B08" w14:textId="00ED76B7" w:rsidR="00185793" w:rsidRPr="008A5A40" w:rsidRDefault="00185793" w:rsidP="008A5A40">
      <w:pPr>
        <w:pStyle w:val="ae"/>
        <w:jc w:val="both"/>
        <w:rPr>
          <w:rFonts w:asciiTheme="majorBidi" w:hAnsiTheme="majorBidi" w:cstheme="majorBidi"/>
        </w:rPr>
      </w:pPr>
    </w:p>
  </w:footnote>
  <w:footnote w:id="25">
    <w:p w14:paraId="3BA609C0" w14:textId="77777777" w:rsidR="00185793" w:rsidRPr="008A5A40" w:rsidRDefault="00185793" w:rsidP="008A5A40">
      <w:pPr>
        <w:pStyle w:val="ae"/>
        <w:tabs>
          <w:tab w:val="left" w:pos="1134"/>
        </w:tabs>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Sarker, A.E. Rural Development Scheme (RDS) of Islami Bank Bangladesh Limited: An Innovative Initiative for Poverty Alleviation. – Humanomics, Vol. 34, No. 2, 2018. – P. 154–170. DOI:10.1108/H-01-2018-0008.</w:t>
      </w:r>
    </w:p>
    <w:p w14:paraId="3FC4BC75" w14:textId="6BD0F166" w:rsidR="00185793" w:rsidRPr="008A5A40" w:rsidRDefault="00185793" w:rsidP="008A5A40">
      <w:pPr>
        <w:pStyle w:val="ae"/>
        <w:jc w:val="both"/>
        <w:rPr>
          <w:rFonts w:asciiTheme="majorBidi" w:hAnsiTheme="majorBidi" w:cstheme="majorBidi"/>
        </w:rPr>
      </w:pPr>
    </w:p>
  </w:footnote>
  <w:footnote w:id="26">
    <w:p w14:paraId="3A66980F" w14:textId="16EB8C49" w:rsidR="00185793" w:rsidRPr="008A5A40" w:rsidRDefault="00185793"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5.</w:t>
      </w:r>
      <w:r w:rsidRPr="008A5A40">
        <w:rPr>
          <w:rFonts w:asciiTheme="majorBidi" w:hAnsiTheme="majorBidi" w:cstheme="majorBidi"/>
        </w:rPr>
        <w:tab/>
        <w:t>Hossain, B. “Impact of urban microfinance on the livelihood strategies: Evidence from Bangladesh.” Cities, 2020. P. 5. DOI:10.1016/j.cities.2018.03.003</w:t>
      </w:r>
    </w:p>
  </w:footnote>
  <w:footnote w:id="27">
    <w:p w14:paraId="44949FAE" w14:textId="2F969335" w:rsidR="00185793" w:rsidRPr="008A5A40" w:rsidRDefault="00185793"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1.</w:t>
      </w:r>
      <w:r w:rsidRPr="008A5A40">
        <w:rPr>
          <w:rFonts w:asciiTheme="majorBidi" w:hAnsiTheme="majorBidi" w:cstheme="majorBidi"/>
        </w:rPr>
        <w:tab/>
        <w:t>Uddin A. A New Dimension of Islamic Microfinance Revolution in Bangladesh: A Case Study of RDS //Journal of Turkish Social Sciences Research. – 2017. – Т. 2. – №. 2.</w:t>
      </w:r>
    </w:p>
  </w:footnote>
  <w:footnote w:id="28">
    <w:p w14:paraId="04EEE7CC" w14:textId="1C6ADE57" w:rsidR="00185793" w:rsidRPr="008A5A40" w:rsidRDefault="00185793"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8.</w:t>
      </w:r>
      <w:r w:rsidRPr="008A5A40">
        <w:rPr>
          <w:rFonts w:asciiTheme="majorBidi" w:hAnsiTheme="majorBidi" w:cstheme="majorBidi"/>
        </w:rPr>
        <w:tab/>
        <w:t>Roushan M. General banking &amp; investment modes of Islamic Bank Bangladesh Ltd. – 2015.</w:t>
      </w:r>
    </w:p>
  </w:footnote>
  <w:footnote w:id="29">
    <w:p w14:paraId="71F56D3C" w14:textId="462CA598" w:rsidR="00185793" w:rsidRPr="008A5A40" w:rsidRDefault="00185793"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Hossain, B. “Impact of urban microfinance on the livelihood strategies: Evidence from Bangladesh.” Cities, 2020. P. 5. DOI:10.1016/j.cities.2018.03.003.</w:t>
      </w:r>
    </w:p>
  </w:footnote>
  <w:footnote w:id="30">
    <w:p w14:paraId="3ED60BCA" w14:textId="39D99CD9" w:rsidR="008A5A40" w:rsidRPr="008A5A40" w:rsidRDefault="008A5A40"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Islami Bank Bangladesh PLC. Annual Report 2022. Dhaka: IBBL, 2023, pp. 200-210.</w:t>
      </w:r>
    </w:p>
  </w:footnote>
  <w:footnote w:id="31">
    <w:p w14:paraId="47701BBC" w14:textId="6C63087F" w:rsidR="008A5A40" w:rsidRPr="008A5A40" w:rsidRDefault="008A5A40" w:rsidP="008A5A40">
      <w:pPr>
        <w:pStyle w:val="ae"/>
        <w:jc w:val="both"/>
        <w:rPr>
          <w:rFonts w:asciiTheme="majorBidi" w:hAnsiTheme="majorBidi" w:cstheme="majorBidi"/>
        </w:rPr>
      </w:pPr>
      <w:r w:rsidRPr="008A5A40">
        <w:rPr>
          <w:rStyle w:val="af0"/>
          <w:rFonts w:asciiTheme="majorBidi" w:hAnsiTheme="majorBidi" w:cstheme="majorBidi"/>
        </w:rPr>
        <w:footnoteRef/>
      </w:r>
      <w:r w:rsidRPr="008A5A40">
        <w:rPr>
          <w:rFonts w:asciiTheme="majorBidi" w:hAnsiTheme="majorBidi" w:cstheme="majorBidi"/>
        </w:rPr>
        <w:t xml:space="preserve"> Islami Bank Bangladesh PLC. Annual Report 2022. Dhaka: IBBL, 2023, pp. 200-210.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365"/>
    <w:multiLevelType w:val="hybridMultilevel"/>
    <w:tmpl w:val="638094A0"/>
    <w:lvl w:ilvl="0" w:tplc="F546003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D4CE2"/>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46770"/>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7F4B21"/>
    <w:multiLevelType w:val="hybridMultilevel"/>
    <w:tmpl w:val="64963E04"/>
    <w:lvl w:ilvl="0" w:tplc="F546003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B1422"/>
    <w:multiLevelType w:val="multilevel"/>
    <w:tmpl w:val="04C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1F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92912"/>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5300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2284F"/>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434BFF"/>
    <w:multiLevelType w:val="multilevel"/>
    <w:tmpl w:val="57A8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17A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A6A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B0282"/>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80387A"/>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CD1217"/>
    <w:multiLevelType w:val="hybridMultilevel"/>
    <w:tmpl w:val="C054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401647"/>
    <w:multiLevelType w:val="hybridMultilevel"/>
    <w:tmpl w:val="C054E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15158E"/>
    <w:multiLevelType w:val="multilevel"/>
    <w:tmpl w:val="2868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94FD7"/>
    <w:multiLevelType w:val="hybridMultilevel"/>
    <w:tmpl w:val="6D88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E063E"/>
    <w:multiLevelType w:val="hybridMultilevel"/>
    <w:tmpl w:val="1B7CC89E"/>
    <w:lvl w:ilvl="0" w:tplc="2E92FB30">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10"/>
  </w:num>
  <w:num w:numId="5">
    <w:abstractNumId w:val="4"/>
  </w:num>
  <w:num w:numId="6">
    <w:abstractNumId w:val="16"/>
  </w:num>
  <w:num w:numId="7">
    <w:abstractNumId w:val="9"/>
  </w:num>
  <w:num w:numId="8">
    <w:abstractNumId w:val="15"/>
  </w:num>
  <w:num w:numId="9">
    <w:abstractNumId w:val="12"/>
  </w:num>
  <w:num w:numId="10">
    <w:abstractNumId w:val="8"/>
  </w:num>
  <w:num w:numId="11">
    <w:abstractNumId w:val="6"/>
  </w:num>
  <w:num w:numId="12">
    <w:abstractNumId w:val="2"/>
  </w:num>
  <w:num w:numId="13">
    <w:abstractNumId w:val="13"/>
  </w:num>
  <w:num w:numId="14">
    <w:abstractNumId w:val="14"/>
  </w:num>
  <w:num w:numId="15">
    <w:abstractNumId w:val="1"/>
  </w:num>
  <w:num w:numId="16">
    <w:abstractNumId w:val="17"/>
  </w:num>
  <w:num w:numId="17">
    <w:abstractNumId w:val="18"/>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B5"/>
    <w:rsid w:val="00026447"/>
    <w:rsid w:val="000813E8"/>
    <w:rsid w:val="000A4E65"/>
    <w:rsid w:val="00123C3C"/>
    <w:rsid w:val="00162CB1"/>
    <w:rsid w:val="00185793"/>
    <w:rsid w:val="001B3030"/>
    <w:rsid w:val="001B39EA"/>
    <w:rsid w:val="001E07D0"/>
    <w:rsid w:val="001E3753"/>
    <w:rsid w:val="00222FC2"/>
    <w:rsid w:val="002A611D"/>
    <w:rsid w:val="003319E1"/>
    <w:rsid w:val="00334A47"/>
    <w:rsid w:val="00387E6D"/>
    <w:rsid w:val="003E200F"/>
    <w:rsid w:val="00420BE1"/>
    <w:rsid w:val="004266E1"/>
    <w:rsid w:val="00457900"/>
    <w:rsid w:val="004C7005"/>
    <w:rsid w:val="004D1C54"/>
    <w:rsid w:val="0050368C"/>
    <w:rsid w:val="00513F02"/>
    <w:rsid w:val="005342C0"/>
    <w:rsid w:val="00555B7D"/>
    <w:rsid w:val="00570A7D"/>
    <w:rsid w:val="00573643"/>
    <w:rsid w:val="00590E7F"/>
    <w:rsid w:val="005D1652"/>
    <w:rsid w:val="005F33E3"/>
    <w:rsid w:val="005F3AAD"/>
    <w:rsid w:val="00604D80"/>
    <w:rsid w:val="00611B47"/>
    <w:rsid w:val="00643E3C"/>
    <w:rsid w:val="006609E9"/>
    <w:rsid w:val="006B4A34"/>
    <w:rsid w:val="006C0B77"/>
    <w:rsid w:val="007179EA"/>
    <w:rsid w:val="007D7303"/>
    <w:rsid w:val="008242FF"/>
    <w:rsid w:val="00844365"/>
    <w:rsid w:val="00870751"/>
    <w:rsid w:val="00885009"/>
    <w:rsid w:val="008A5A40"/>
    <w:rsid w:val="00916DFA"/>
    <w:rsid w:val="00922C48"/>
    <w:rsid w:val="00985072"/>
    <w:rsid w:val="009947BD"/>
    <w:rsid w:val="00A00237"/>
    <w:rsid w:val="00A57040"/>
    <w:rsid w:val="00A72413"/>
    <w:rsid w:val="00AD5A51"/>
    <w:rsid w:val="00AF6927"/>
    <w:rsid w:val="00B915B7"/>
    <w:rsid w:val="00BB1D55"/>
    <w:rsid w:val="00BD3478"/>
    <w:rsid w:val="00C14D46"/>
    <w:rsid w:val="00C84658"/>
    <w:rsid w:val="00CC134C"/>
    <w:rsid w:val="00CC68EB"/>
    <w:rsid w:val="00D8211E"/>
    <w:rsid w:val="00DE1DDA"/>
    <w:rsid w:val="00E12C1E"/>
    <w:rsid w:val="00E172DA"/>
    <w:rsid w:val="00E2464A"/>
    <w:rsid w:val="00E351B5"/>
    <w:rsid w:val="00EA59DF"/>
    <w:rsid w:val="00EE4070"/>
    <w:rsid w:val="00F12C76"/>
    <w:rsid w:val="00FD6EFA"/>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0945"/>
  <w15:chartTrackingRefBased/>
  <w15:docId w15:val="{FE48E826-1D7E-4972-BE34-C0E44130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noProof/>
      <w:sz w:val="28"/>
      <w:lang w:val="en-US"/>
    </w:rPr>
  </w:style>
  <w:style w:type="paragraph" w:styleId="1">
    <w:name w:val="heading 1"/>
    <w:basedOn w:val="a"/>
    <w:next w:val="a"/>
    <w:link w:val="10"/>
    <w:uiPriority w:val="9"/>
    <w:qFormat/>
    <w:rsid w:val="00E351B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351B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351B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351B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351B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351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51B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51B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51B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1B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351B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351B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351B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351B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351B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51B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51B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51B5"/>
    <w:rPr>
      <w:rFonts w:eastAsiaTheme="majorEastAsia" w:cstheme="majorBidi"/>
      <w:color w:val="272727" w:themeColor="text1" w:themeTint="D8"/>
      <w:sz w:val="28"/>
    </w:rPr>
  </w:style>
  <w:style w:type="paragraph" w:styleId="a3">
    <w:name w:val="Title"/>
    <w:basedOn w:val="a"/>
    <w:next w:val="a"/>
    <w:link w:val="a4"/>
    <w:uiPriority w:val="10"/>
    <w:qFormat/>
    <w:rsid w:val="00E351B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5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1B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351B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51B5"/>
    <w:pPr>
      <w:spacing w:before="160"/>
      <w:jc w:val="center"/>
    </w:pPr>
    <w:rPr>
      <w:i/>
      <w:iCs/>
      <w:color w:val="404040" w:themeColor="text1" w:themeTint="BF"/>
    </w:rPr>
  </w:style>
  <w:style w:type="character" w:customStyle="1" w:styleId="22">
    <w:name w:val="Цитата 2 Знак"/>
    <w:basedOn w:val="a0"/>
    <w:link w:val="21"/>
    <w:uiPriority w:val="29"/>
    <w:rsid w:val="00E351B5"/>
    <w:rPr>
      <w:rFonts w:ascii="Times New Roman" w:hAnsi="Times New Roman"/>
      <w:i/>
      <w:iCs/>
      <w:color w:val="404040" w:themeColor="text1" w:themeTint="BF"/>
      <w:sz w:val="28"/>
    </w:rPr>
  </w:style>
  <w:style w:type="paragraph" w:styleId="a7">
    <w:name w:val="List Paragraph"/>
    <w:basedOn w:val="a"/>
    <w:uiPriority w:val="34"/>
    <w:qFormat/>
    <w:rsid w:val="00E351B5"/>
    <w:pPr>
      <w:ind w:left="720"/>
      <w:contextualSpacing/>
    </w:pPr>
  </w:style>
  <w:style w:type="character" w:styleId="a8">
    <w:name w:val="Intense Emphasis"/>
    <w:basedOn w:val="a0"/>
    <w:uiPriority w:val="21"/>
    <w:qFormat/>
    <w:rsid w:val="00E351B5"/>
    <w:rPr>
      <w:i/>
      <w:iCs/>
      <w:color w:val="2E74B5" w:themeColor="accent1" w:themeShade="BF"/>
    </w:rPr>
  </w:style>
  <w:style w:type="paragraph" w:styleId="a9">
    <w:name w:val="Intense Quote"/>
    <w:basedOn w:val="a"/>
    <w:next w:val="a"/>
    <w:link w:val="aa"/>
    <w:uiPriority w:val="30"/>
    <w:qFormat/>
    <w:rsid w:val="00E351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351B5"/>
    <w:rPr>
      <w:rFonts w:ascii="Times New Roman" w:hAnsi="Times New Roman"/>
      <w:i/>
      <w:iCs/>
      <w:color w:val="2E74B5" w:themeColor="accent1" w:themeShade="BF"/>
      <w:sz w:val="28"/>
    </w:rPr>
  </w:style>
  <w:style w:type="character" w:styleId="ab">
    <w:name w:val="Intense Reference"/>
    <w:basedOn w:val="a0"/>
    <w:uiPriority w:val="32"/>
    <w:qFormat/>
    <w:rsid w:val="00E351B5"/>
    <w:rPr>
      <w:b/>
      <w:bCs/>
      <w:smallCaps/>
      <w:color w:val="2E74B5" w:themeColor="accent1" w:themeShade="BF"/>
      <w:spacing w:val="5"/>
    </w:rPr>
  </w:style>
  <w:style w:type="table" w:styleId="ac">
    <w:name w:val="Table Grid"/>
    <w:basedOn w:val="a1"/>
    <w:uiPriority w:val="39"/>
    <w:rsid w:val="0016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62CB1"/>
    <w:rPr>
      <w:color w:val="0563C1" w:themeColor="hyperlink"/>
      <w:u w:val="single"/>
    </w:rPr>
  </w:style>
  <w:style w:type="character" w:customStyle="1" w:styleId="UnresolvedMention">
    <w:name w:val="Unresolved Mention"/>
    <w:basedOn w:val="a0"/>
    <w:uiPriority w:val="99"/>
    <w:semiHidden/>
    <w:unhideWhenUsed/>
    <w:rsid w:val="00162CB1"/>
    <w:rPr>
      <w:color w:val="605E5C"/>
      <w:shd w:val="clear" w:color="auto" w:fill="E1DFDD"/>
    </w:rPr>
  </w:style>
  <w:style w:type="paragraph" w:styleId="ae">
    <w:name w:val="footnote text"/>
    <w:basedOn w:val="a"/>
    <w:link w:val="af"/>
    <w:uiPriority w:val="99"/>
    <w:unhideWhenUsed/>
    <w:rsid w:val="001E3753"/>
    <w:pPr>
      <w:spacing w:after="0"/>
    </w:pPr>
    <w:rPr>
      <w:sz w:val="20"/>
      <w:szCs w:val="20"/>
    </w:rPr>
  </w:style>
  <w:style w:type="character" w:customStyle="1" w:styleId="af">
    <w:name w:val="Текст сноски Знак"/>
    <w:basedOn w:val="a0"/>
    <w:link w:val="ae"/>
    <w:uiPriority w:val="99"/>
    <w:rsid w:val="001E3753"/>
    <w:rPr>
      <w:rFonts w:ascii="Times New Roman" w:hAnsi="Times New Roman"/>
      <w:sz w:val="20"/>
      <w:szCs w:val="20"/>
    </w:rPr>
  </w:style>
  <w:style w:type="character" w:styleId="af0">
    <w:name w:val="footnote reference"/>
    <w:basedOn w:val="a0"/>
    <w:uiPriority w:val="99"/>
    <w:semiHidden/>
    <w:unhideWhenUsed/>
    <w:rsid w:val="001E3753"/>
    <w:rPr>
      <w:vertAlign w:val="superscript"/>
    </w:rPr>
  </w:style>
  <w:style w:type="table" w:styleId="-41">
    <w:name w:val="Grid Table 4 Accent 1"/>
    <w:basedOn w:val="a1"/>
    <w:uiPriority w:val="49"/>
    <w:rsid w:val="001E37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0">
    <w:name w:val="List Table 4 Accent 1"/>
    <w:basedOn w:val="a1"/>
    <w:uiPriority w:val="49"/>
    <w:rsid w:val="001E37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31">
    <w:name w:val="List Table 3 Accent 1"/>
    <w:basedOn w:val="a1"/>
    <w:uiPriority w:val="48"/>
    <w:rsid w:val="001E375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af1">
    <w:name w:val="FollowedHyperlink"/>
    <w:basedOn w:val="a0"/>
    <w:uiPriority w:val="99"/>
    <w:semiHidden/>
    <w:unhideWhenUsed/>
    <w:rsid w:val="00A00237"/>
    <w:rPr>
      <w:color w:val="954F72" w:themeColor="followedHyperlink"/>
      <w:u w:val="single"/>
    </w:rPr>
  </w:style>
  <w:style w:type="paragraph" w:styleId="af2">
    <w:name w:val="Normal (Web)"/>
    <w:basedOn w:val="a"/>
    <w:uiPriority w:val="99"/>
    <w:semiHidden/>
    <w:unhideWhenUsed/>
    <w:rsid w:val="009947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populationreview.com/country-rankings/muslim-population-by-country" TargetMode="External"/><Relationship Id="rId5" Type="http://schemas.openxmlformats.org/officeDocument/2006/relationships/webSettings" Target="webSettings.xml"/><Relationship Id="rId10" Type="http://schemas.openxmlformats.org/officeDocument/2006/relationships/hyperlink" Target="https://www.worldbank.org/en/country/bangladesh/overview?utm_source=chatgpt.com" TargetMode="External"/><Relationship Id="rId4" Type="http://schemas.openxmlformats.org/officeDocument/2006/relationships/settings" Target="settings.xml"/><Relationship Id="rId9" Type="http://schemas.openxmlformats.org/officeDocument/2006/relationships/hyperlink" Target="https://www.tbsnews.net/bangladesh/human-development-index-bangladesh-ranks-129th-again-remains-ahead-india-pakistan-80921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bsnews.net/bangladesh/human-development-index-bangladesh-ranks-129th-again-remains-ahead-india-pakistan-809218" TargetMode="External"/><Relationship Id="rId2" Type="http://schemas.openxmlformats.org/officeDocument/2006/relationships/hyperlink" Target="https://www.worldbank.org/en/country/bangladesh/overview?utm_source=chatgpt.com" TargetMode="External"/><Relationship Id="rId1" Type="http://schemas.openxmlformats.org/officeDocument/2006/relationships/hyperlink" Target="https://www.worldbank.org/en/country/bangladesh/overview?utm_source=chatgpt.com" TargetMode="External"/><Relationship Id="rId4" Type="http://schemas.openxmlformats.org/officeDocument/2006/relationships/hyperlink" Target="https://worldpopulationreview.com/country-rankings/muslim-population-by-countr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Столбец1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1EA8-48DF-B4EF-977DD0E7077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4-1EA8-48DF-B4EF-977DD0E7077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3-1EA8-48DF-B4EF-977DD0E70771}"/>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2-1EA8-48DF-B4EF-977DD0E70771}"/>
              </c:ext>
            </c:extLst>
          </c:dPt>
          <c:dLbls>
            <c:dLbl>
              <c:idx val="0"/>
              <c:layout>
                <c:manualLayout>
                  <c:x val="0.2013888888888889"/>
                  <c:y val="-9.4549363318972608E-17"/>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1EA8-48DF-B4EF-977DD0E70771}"/>
                </c:ext>
              </c:extLst>
            </c:dLbl>
            <c:dLbl>
              <c:idx val="1"/>
              <c:layout>
                <c:manualLayout>
                  <c:x val="-0.2013888888888889"/>
                  <c:y val="0.22176379577101593"/>
                </c:manualLayout>
              </c:layout>
              <c:spPr>
                <a:solidFill>
                  <a:sysClr val="window" lastClr="FFFFFF"/>
                </a:solidFill>
                <a:ln>
                  <a:solidFill>
                    <a:srgbClr val="ED7D31">
                      <a:lumMod val="75000"/>
                    </a:srgb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4-1EA8-48DF-B4EF-977DD0E70771}"/>
                </c:ext>
              </c:extLst>
            </c:dLbl>
            <c:dLbl>
              <c:idx val="2"/>
              <c:layout>
                <c:manualLayout>
                  <c:x val="-0.22685185185185186"/>
                  <c:y val="-3.69185350026192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EA8-48DF-B4EF-977DD0E70771}"/>
                </c:ext>
              </c:extLst>
            </c:dLbl>
            <c:dLbl>
              <c:idx val="3"/>
              <c:layout>
                <c:manualLayout>
                  <c:x val="0.23379629629629631"/>
                  <c:y val="-3.7370915278189504E-2"/>
                </c:manualLayout>
              </c:layout>
              <c:spPr>
                <a:solidFill>
                  <a:sysClr val="window" lastClr="FFFFFF"/>
                </a:solidFill>
                <a:ln>
                  <a:solidFill>
                    <a:srgbClr val="FFC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1EA8-48DF-B4EF-977DD0E7077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MRA litsenziyalangan MMTlari</c:v>
                </c:pt>
                <c:pt idx="1">
                  <c:v>Grameen Bank</c:v>
                </c:pt>
                <c:pt idx="2">
                  <c:v>Turli davlat idoralari  / maxsus dasturlar</c:v>
                </c:pt>
                <c:pt idx="3">
                  <c:v>Davlat va nodavlat banklar</c:v>
                </c:pt>
              </c:strCache>
            </c:strRef>
          </c:cat>
          <c:val>
            <c:numRef>
              <c:f>Лист1!$B$2:$B$5</c:f>
              <c:numCache>
                <c:formatCode>General</c:formatCode>
                <c:ptCount val="4"/>
                <c:pt idx="0" formatCode="#,##0.00">
                  <c:v>2493.02</c:v>
                </c:pt>
                <c:pt idx="1">
                  <c:v>247.57</c:v>
                </c:pt>
                <c:pt idx="2">
                  <c:v>84.75</c:v>
                </c:pt>
                <c:pt idx="3">
                  <c:v>36.4</c:v>
                </c:pt>
              </c:numCache>
            </c:numRef>
          </c:val>
          <c:extLst>
            <c:ext xmlns:c16="http://schemas.microsoft.com/office/drawing/2014/chart" uri="{C3380CC4-5D6E-409C-BE32-E72D297353CC}">
              <c16:uniqueId val="{00000000-1EA8-48DF-B4EF-977DD0E70771}"/>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A438-57E0-4EA2-B9B8-BD658C16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4471</Words>
  <Characters>25490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Ugilshod Akhmedova</dc:creator>
  <cp:keywords/>
  <dc:description/>
  <cp:lastModifiedBy>Admin</cp:lastModifiedBy>
  <cp:revision>8</cp:revision>
  <dcterms:created xsi:type="dcterms:W3CDTF">2025-09-25T11:09:00Z</dcterms:created>
  <dcterms:modified xsi:type="dcterms:W3CDTF">2025-10-12T19:15:00Z</dcterms:modified>
</cp:coreProperties>
</file>